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</w:t>
      </w:r>
      <w:r>
        <w:rPr>
          <w:rFonts w:hint="eastAsia"/>
          <w:b/>
          <w:bCs/>
          <w:sz w:val="28"/>
          <w:szCs w:val="28"/>
          <w:lang w:val="en-US" w:eastAsia="zh-CN"/>
        </w:rPr>
        <w:t>医院</w:t>
      </w:r>
      <w:r>
        <w:rPr>
          <w:rFonts w:hint="eastAsia"/>
          <w:b/>
          <w:bCs/>
          <w:sz w:val="28"/>
          <w:szCs w:val="28"/>
        </w:rPr>
        <w:t>账号申领和经办人账号赋权</w:t>
      </w:r>
    </w:p>
    <w:p>
      <w:pPr>
        <w:jc w:val="left"/>
        <w:rPr>
          <w:rFonts w:hint="eastAsia"/>
          <w:b/>
          <w:bCs/>
          <w:sz w:val="28"/>
          <w:szCs w:val="28"/>
        </w:rPr>
      </w:pPr>
    </w:p>
    <w:p>
      <w:pPr>
        <w:ind w:firstLine="540" w:firstLineChars="20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医疗机构如已有医保编码的，可直接在新招采子系统注册认证；如无医保编码的，需先在国家医保信息业务编码标准数据库动态维护平台（维护网址：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instrText xml:space="preserve"> HYPERLINK "https://code.nhsa.gov.cn/yljg/login.html" \t "https://www.gdmede.com.cn/" </w:instrTex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t>https://code.nhsa.gov.cn/yljg/login.html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7"/>
          <w:szCs w:val="27"/>
          <w:u w:val="none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  <w:t>）申请赋码后再在新招采子系统进行注册认证。</w:t>
      </w:r>
    </w:p>
    <w:p>
      <w:pPr>
        <w:jc w:val="left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/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/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14、</w:t>
      </w: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30780"/>
            <wp:effectExtent l="0" t="0" r="1016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bookmarkStart w:id="0" w:name="_GoBack"/>
      <w:bookmarkEnd w:id="0"/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5" name="图片 25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val="en-US" w:eastAsia="zh-CN"/>
        </w:rPr>
      </w:pPr>
      <w:r>
        <w:rPr>
          <w:rFonts w:hint="eastAsia"/>
        </w:rPr>
        <w:t>图</w:t>
      </w:r>
      <w:r>
        <w:t>2</w:t>
      </w:r>
      <w:r>
        <w:rPr>
          <w:rFonts w:hint="eastAsia"/>
          <w:lang w:val="en-US" w:eastAsia="zh-CN"/>
        </w:rPr>
        <w:t>0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2" name="图片 22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6055" cy="1583055"/>
            <wp:effectExtent l="0" t="0" r="1079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找到系统自动生成的结算用户，点击分配账号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4310" cy="1068070"/>
            <wp:effectExtent l="0" t="0" r="2540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25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26、点击单位登录，登录经办人账号（账号为手机号）（图29）。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27、点击进入单位网厅（图30）。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28、再次点击招采企业服务-公共业务功能区（图31）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3" name="图片 23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4745bcb6ce2ac8e08126e874e38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29、经办人账号也有了对应的权限（图32）。</w:t>
      </w:r>
    </w:p>
    <w:p>
      <w:r>
        <w:drawing>
          <wp:inline distT="0" distB="0" distL="114300" distR="114300">
            <wp:extent cx="5270500" cy="1483360"/>
            <wp:effectExtent l="0" t="0" r="635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</w:t>
      </w:r>
      <w:r>
        <w:rPr>
          <w:rFonts w:hint="eastAsia"/>
          <w:lang w:val="en-US" w:eastAsia="zh-CN"/>
        </w:rPr>
        <w:t>药品耗材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jOTAwMDg4YTEzYjRiZDUwOWE1NmZkYmI1NzgyMDEifQ=="/>
    <w:docVar w:name="KSO_WPS_MARK_KEY" w:val="49bd852d-6619-40c9-bcc0-3447a17fa300"/>
  </w:docVars>
  <w:rsids>
    <w:rsidRoot w:val="7F6F0647"/>
    <w:rsid w:val="0599679B"/>
    <w:rsid w:val="237C0B1B"/>
    <w:rsid w:val="46B81D80"/>
    <w:rsid w:val="65FC486D"/>
    <w:rsid w:val="66B2582E"/>
    <w:rsid w:val="6A3B51DB"/>
    <w:rsid w:val="7A0F3A7E"/>
    <w:rsid w:val="7AFA539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1119</Words>
  <Characters>1468</Characters>
  <Lines>0</Lines>
  <Paragraphs>0</Paragraphs>
  <TotalTime>0</TotalTime>
  <ScaleCrop>false</ScaleCrop>
  <LinksUpToDate>false</LinksUpToDate>
  <CharactersWithSpaces>1490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泡沫</cp:lastModifiedBy>
  <dcterms:modified xsi:type="dcterms:W3CDTF">2025-12-09T05:07:01Z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E3DAF525B9174545896A46CA91F67E85_13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