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hint="eastAsia" w:ascii="黑体" w:hAnsi="黑体" w:eastAsia="黑体" w:cs="黑体"/>
          <w:color w:val="000000" w:themeColor="text1"/>
          <w:sz w:val="32"/>
          <w:szCs w:val="32"/>
          <w:lang w:val="en-US" w:eastAsia="zh-CN"/>
          <w14:textFill>
            <w14:solidFill>
              <w14:schemeClr w14:val="tx1"/>
            </w14:solidFill>
          </w14:textFill>
        </w:rPr>
      </w:pPr>
      <w:bookmarkStart w:id="43" w:name="_GoBack"/>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bookmarkEnd w:id="43"/>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lang w:val="en-US"/>
          <w14:textFill>
            <w14:solidFill>
              <w14:schemeClr w14:val="tx1"/>
            </w14:solidFill>
          </w14:textFill>
        </w:rPr>
      </w:pPr>
      <w:r>
        <w:rPr>
          <w:rFonts w:ascii="Times New Roman" w:hAnsi="Times New Roman" w:cs="Times New Roman"/>
          <w:color w:val="000000" w:themeColor="text1"/>
          <w:sz w:val="20"/>
          <w:lang w:val="en-US"/>
          <w14:textFill>
            <w14:solidFill>
              <w14:schemeClr w14:val="tx1"/>
            </w14:solidFill>
          </w14:textFill>
        </w:rPr>
        <w:t xml:space="preserve"> </w:t>
      </w:r>
    </w:p>
    <w:p>
      <w:pPr>
        <w:pStyle w:val="7"/>
        <w:ind w:left="0"/>
        <w:rPr>
          <w:rFonts w:ascii="Times New Roman" w:hAnsi="Times New Roman" w:cs="Times New Roman"/>
          <w:color w:val="000000" w:themeColor="text1"/>
          <w:sz w:val="20"/>
          <w14:textFill>
            <w14:solidFill>
              <w14:schemeClr w14:val="tx1"/>
            </w14:solidFill>
          </w14:textFill>
        </w:rPr>
      </w:pPr>
    </w:p>
    <w:p>
      <w:pPr>
        <w:pStyle w:val="7"/>
        <w:spacing w:before="6"/>
        <w:ind w:left="0"/>
        <w:rPr>
          <w:rFonts w:ascii="Times New Roman" w:hAnsi="Times New Roman" w:cs="Times New Roman"/>
          <w:color w:val="000000" w:themeColor="text1"/>
          <w:sz w:val="24"/>
          <w14:textFill>
            <w14:solidFill>
              <w14:schemeClr w14:val="tx1"/>
            </w14:solidFill>
          </w14:textFill>
        </w:rPr>
      </w:pPr>
    </w:p>
    <w:p>
      <w:pPr>
        <w:jc w:val="center"/>
        <w:rPr>
          <w:rFonts w:ascii="Times New Roman" w:hAnsi="Times New Roman" w:eastAsia="华文中宋" w:cs="Times New Roman"/>
          <w:color w:val="000000" w:themeColor="text1"/>
          <w:sz w:val="72"/>
          <w:szCs w:val="72"/>
          <w:lang w:val="en-US"/>
          <w14:textFill>
            <w14:solidFill>
              <w14:schemeClr w14:val="tx1"/>
            </w14:solidFill>
          </w14:textFill>
        </w:rPr>
      </w:pPr>
      <w:r>
        <w:rPr>
          <w:rFonts w:hint="eastAsia" w:ascii="Times New Roman" w:hAnsi="Times New Roman" w:eastAsia="华文中宋" w:cs="Times New Roman"/>
          <w:color w:val="000000" w:themeColor="text1"/>
          <w:sz w:val="72"/>
          <w:szCs w:val="72"/>
          <w:lang w:val="en-US"/>
          <w14:textFill>
            <w14:solidFill>
              <w14:schemeClr w14:val="tx1"/>
            </w14:solidFill>
          </w14:textFill>
        </w:rPr>
        <w:t>阿莫西林等45个</w:t>
      </w:r>
      <w:r>
        <w:rPr>
          <w:rFonts w:ascii="Times New Roman" w:hAnsi="Times New Roman" w:eastAsia="华文中宋" w:cs="Times New Roman"/>
          <w:color w:val="000000" w:themeColor="text1"/>
          <w:sz w:val="72"/>
          <w:szCs w:val="72"/>
          <w14:textFill>
            <w14:solidFill>
              <w14:schemeClr w14:val="tx1"/>
            </w14:solidFill>
          </w14:textFill>
        </w:rPr>
        <w:t>药品</w:t>
      </w:r>
      <w:r>
        <w:rPr>
          <w:rFonts w:ascii="Times New Roman" w:hAnsi="Times New Roman" w:eastAsia="华文中宋" w:cs="Times New Roman"/>
          <w:color w:val="000000" w:themeColor="text1"/>
          <w:sz w:val="72"/>
          <w:szCs w:val="72"/>
          <w:lang w:val="en-US"/>
          <w14:textFill>
            <w14:solidFill>
              <w14:schemeClr w14:val="tx1"/>
            </w14:solidFill>
          </w14:textFill>
        </w:rPr>
        <w:t>联盟地区</w:t>
      </w:r>
    </w:p>
    <w:p>
      <w:pPr>
        <w:jc w:val="center"/>
        <w:rPr>
          <w:rFonts w:ascii="Times New Roman" w:hAnsi="Times New Roman" w:eastAsia="华文中宋" w:cs="Times New Roman"/>
          <w:color w:val="000000" w:themeColor="text1"/>
          <w:sz w:val="72"/>
          <w:szCs w:val="72"/>
          <w14:textFill>
            <w14:solidFill>
              <w14:schemeClr w14:val="tx1"/>
            </w14:solidFill>
          </w14:textFill>
        </w:rPr>
      </w:pPr>
      <w:r>
        <w:rPr>
          <w:rFonts w:ascii="Times New Roman" w:hAnsi="Times New Roman" w:eastAsia="华文中宋" w:cs="Times New Roman"/>
          <w:color w:val="000000" w:themeColor="text1"/>
          <w:sz w:val="72"/>
          <w:szCs w:val="72"/>
          <w14:textFill>
            <w14:solidFill>
              <w14:schemeClr w14:val="tx1"/>
            </w14:solidFill>
          </w14:textFill>
        </w:rPr>
        <w:t>集</w:t>
      </w:r>
      <w:r>
        <w:rPr>
          <w:rFonts w:ascii="Times New Roman" w:hAnsi="Times New Roman" w:eastAsia="华文中宋" w:cs="Times New Roman"/>
          <w:color w:val="000000" w:themeColor="text1"/>
          <w:sz w:val="72"/>
          <w:szCs w:val="72"/>
          <w:lang w:val="en-US"/>
          <w14:textFill>
            <w14:solidFill>
              <w14:schemeClr w14:val="tx1"/>
            </w14:solidFill>
          </w14:textFill>
        </w:rPr>
        <w:t>团带量</w:t>
      </w:r>
      <w:r>
        <w:rPr>
          <w:rFonts w:ascii="Times New Roman" w:hAnsi="Times New Roman" w:eastAsia="华文中宋" w:cs="Times New Roman"/>
          <w:color w:val="000000" w:themeColor="text1"/>
          <w:sz w:val="72"/>
          <w:szCs w:val="72"/>
          <w14:textFill>
            <w14:solidFill>
              <w14:schemeClr w14:val="tx1"/>
            </w14:solidFill>
          </w14:textFill>
        </w:rPr>
        <w:t>采购文件</w:t>
      </w:r>
    </w:p>
    <w:p>
      <w:pPr>
        <w:pStyle w:val="2"/>
        <w:jc w:val="center"/>
        <w:rPr>
          <w:rFonts w:hint="eastAsia" w:ascii="楷体" w:hAnsi="楷体" w:eastAsia="楷体" w:cs="楷体"/>
          <w:b/>
          <w:bCs/>
          <w:sz w:val="48"/>
          <w:szCs w:val="48"/>
          <w:lang w:eastAsia="zh-CN"/>
        </w:rPr>
      </w:pPr>
      <w:r>
        <w:rPr>
          <w:rFonts w:hint="eastAsia" w:ascii="楷体" w:hAnsi="楷体" w:eastAsia="楷体" w:cs="楷体"/>
          <w:b/>
          <w:bCs/>
          <w:color w:val="000000" w:themeColor="text1"/>
          <w:sz w:val="48"/>
          <w:szCs w:val="48"/>
          <w:lang w:eastAsia="zh-CN"/>
          <w14:textFill>
            <w14:solidFill>
              <w14:schemeClr w14:val="tx1"/>
            </w14:solidFill>
          </w14:textFill>
        </w:rPr>
        <w:t>（征求意见稿）</w:t>
      </w:r>
    </w:p>
    <w:p>
      <w:pPr>
        <w:pStyle w:val="7"/>
        <w:ind w:left="0"/>
        <w:rPr>
          <w:rFonts w:ascii="Times New Roman" w:hAnsi="Times New Roman" w:cs="Times New Roman"/>
          <w:color w:val="000000" w:themeColor="text1"/>
          <w:sz w:val="110"/>
          <w14:textFill>
            <w14:solidFill>
              <w14:schemeClr w14:val="tx1"/>
            </w14:solidFill>
          </w14:textFill>
        </w:rPr>
      </w:pPr>
    </w:p>
    <w:p>
      <w:pPr>
        <w:pStyle w:val="7"/>
        <w:ind w:left="0"/>
        <w:rPr>
          <w:rFonts w:ascii="Times New Roman" w:hAnsi="Times New Roman" w:cs="Times New Roman"/>
          <w:color w:val="000000" w:themeColor="text1"/>
          <w:sz w:val="110"/>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lang w:val="en-US"/>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采购文件编号：GDYJYPDL20210</w:t>
      </w:r>
      <w:r>
        <w:rPr>
          <w:rFonts w:hint="eastAsia" w:ascii="Times New Roman" w:hAnsi="Times New Roman" w:eastAsia="华文中宋" w:cs="Times New Roman"/>
          <w:color w:val="000000" w:themeColor="text1"/>
          <w:sz w:val="32"/>
          <w:lang w:val="en-US"/>
          <w14:textFill>
            <w14:solidFill>
              <w14:schemeClr w14:val="tx1"/>
            </w14:solidFill>
          </w14:textFill>
        </w:rPr>
        <w:t>2</w:t>
      </w:r>
    </w:p>
    <w:p>
      <w:pPr>
        <w:pStyle w:val="7"/>
        <w:ind w:left="0"/>
        <w:rPr>
          <w:rFonts w:ascii="Times New Roman" w:hAnsi="Times New Roman" w:cs="Times New Roman"/>
          <w:color w:val="000000" w:themeColor="text1"/>
          <w:sz w:val="42"/>
          <w14:textFill>
            <w14:solidFill>
              <w14:schemeClr w14:val="tx1"/>
            </w14:solidFill>
          </w14:textFill>
        </w:rPr>
      </w:pPr>
    </w:p>
    <w:p>
      <w:pPr>
        <w:pStyle w:val="7"/>
        <w:ind w:left="0"/>
        <w:rPr>
          <w:rFonts w:ascii="Times New Roman" w:hAnsi="Times New Roman" w:cs="Times New Roman"/>
          <w:color w:val="000000" w:themeColor="text1"/>
          <w:sz w:val="4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广东省药品交易中心</w:t>
      </w: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2021年</w:t>
      </w:r>
      <w:r>
        <w:rPr>
          <w:rFonts w:hint="eastAsia" w:ascii="Times New Roman" w:hAnsi="Times New Roman" w:eastAsia="华文中宋" w:cs="Times New Roman"/>
          <w:color w:val="000000" w:themeColor="text1"/>
          <w:sz w:val="32"/>
          <w:lang w:val="en-US"/>
          <w14:textFill>
            <w14:solidFill>
              <w14:schemeClr w14:val="tx1"/>
            </w14:solidFill>
          </w14:textFill>
        </w:rPr>
        <w:t>7</w:t>
      </w:r>
      <w:r>
        <w:rPr>
          <w:rFonts w:ascii="Times New Roman" w:hAnsi="Times New Roman" w:eastAsia="华文中宋" w:cs="Times New Roman"/>
          <w:color w:val="000000" w:themeColor="text1"/>
          <w:sz w:val="32"/>
          <w14:textFill>
            <w14:solidFill>
              <w14:schemeClr w14:val="tx1"/>
            </w14:solidFill>
          </w14:textFill>
        </w:rPr>
        <w:t>月</w:t>
      </w:r>
    </w:p>
    <w:p>
      <w:pP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br w:type="page"/>
      </w:r>
    </w:p>
    <w:p>
      <w:pPr>
        <w:pStyle w:val="2"/>
        <w:rPr>
          <w:rFonts w:hint="default" w:ascii="Times New Roman" w:hAnsi="Times New Roman"/>
          <w:color w:val="000000" w:themeColor="text1"/>
          <w14:textFill>
            <w14:solidFill>
              <w14:schemeClr w14:val="tx1"/>
            </w14:solidFill>
          </w14:textFill>
        </w:rPr>
      </w:pPr>
    </w:p>
    <w:p>
      <w:pPr>
        <w:pStyle w:val="12"/>
        <w:tabs>
          <w:tab w:val="right" w:leader="dot" w:pos="9836"/>
        </w:tabs>
        <w:spacing w:line="480" w:lineRule="exact"/>
        <w:ind w:left="44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t>目</w:t>
      </w:r>
      <w:r>
        <w:rPr>
          <w:rFonts w:ascii="Times New Roman" w:hAnsi="Times New Roman" w:eastAsia="黑体" w:cs="Times New Roman"/>
          <w:color w:val="000000" w:themeColor="text1"/>
          <w:sz w:val="44"/>
          <w:szCs w:val="44"/>
          <w:lang w:val="en-US"/>
          <w14:textFill>
            <w14:solidFill>
              <w14:schemeClr w14:val="tx1"/>
            </w14:solidFill>
          </w14:textFill>
        </w:rPr>
        <w:t xml:space="preserve">  </w:t>
      </w:r>
      <w:r>
        <w:rPr>
          <w:rFonts w:ascii="Times New Roman" w:hAnsi="Times New Roman" w:eastAsia="黑体" w:cs="Times New Roman"/>
          <w:color w:val="000000" w:themeColor="text1"/>
          <w:sz w:val="44"/>
          <w:szCs w:val="44"/>
          <w14:textFill>
            <w14:solidFill>
              <w14:schemeClr w14:val="tx1"/>
            </w14:solidFill>
          </w14:textFill>
        </w:rPr>
        <w:t>录</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TOC \o "1-2" \h \u </w:instrText>
      </w:r>
      <w:r>
        <w:rPr>
          <w:rFonts w:ascii="Times New Roman" w:hAnsi="Times New Roman" w:cs="Times New Roman"/>
          <w:color w:val="000000" w:themeColor="text1"/>
          <w:sz w:val="24"/>
          <w:szCs w:val="24"/>
          <w14:textFill>
            <w14:solidFill>
              <w14:schemeClr w14:val="tx1"/>
            </w14:solidFill>
          </w14:textFill>
        </w:rPr>
        <w:fldChar w:fldCharType="separate"/>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"_Toc7563" </w:instrText>
      </w:r>
      <w:r>
        <w:fldChar w:fldCharType="separate"/>
      </w:r>
      <w:r>
        <w:rPr>
          <w:rFonts w:ascii="Times New Roman" w:hAnsi="Times New Roman" w:cs="Times New Roman"/>
          <w:b/>
          <w:bCs/>
          <w:color w:val="000000" w:themeColor="text1"/>
          <w:sz w:val="24"/>
          <w:szCs w:val="24"/>
          <w:lang w:val="en-US"/>
          <w14:textFill>
            <w14:solidFill>
              <w14:schemeClr w14:val="tx1"/>
            </w14:solidFill>
          </w14:textFill>
        </w:rPr>
        <w:t>第一部分 采购邀请</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"_Toc16678"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一、参与采购主体</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"_Toc26433"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二、品种范围</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"_Toc18524"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三、采购周期和采购协议</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"_Toc22582"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四、申报资格</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2</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"_Toc18136"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五、采购产品清单</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-3</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"_Toc14670"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六、采购执行说明</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"_Toc7178"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七、采购文件获取方式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5</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"_Toc7178"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八、报名方式和截止时间</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5</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"_Toc9710"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九、报价安排和时间</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5-</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"_Toc4266"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十、信息公开方式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"_Toc6958"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十一、联系方式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"_Toc12204"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十二、其他</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6</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"_Toc23482" </w:instrText>
      </w:r>
      <w:r>
        <w:fldChar w:fldCharType="separate"/>
      </w:r>
      <w:r>
        <w:rPr>
          <w:rFonts w:ascii="Times New Roman" w:hAnsi="Times New Roman" w:cs="Times New Roman"/>
          <w:b/>
          <w:bCs/>
          <w:color w:val="000000" w:themeColor="text1"/>
          <w:sz w:val="24"/>
          <w:szCs w:val="24"/>
          <w14:textFill>
            <w14:solidFill>
              <w14:schemeClr w14:val="tx1"/>
            </w14:solidFill>
          </w14:textFill>
        </w:rPr>
        <w:t>第二部分 申报企业须知</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7</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"_Toc29906" </w:instrText>
      </w:r>
      <w:r>
        <w:fldChar w:fldCharType="separate"/>
      </w:r>
      <w:r>
        <w:rPr>
          <w:rFonts w:ascii="Times New Roman" w:hAnsi="Times New Roman" w:cs="Times New Roman"/>
          <w:color w:val="000000" w:themeColor="text1"/>
          <w:sz w:val="24"/>
          <w:szCs w:val="24"/>
          <w14:textFill>
            <w14:solidFill>
              <w14:schemeClr w14:val="tx1"/>
            </w14:solidFill>
          </w14:textFill>
        </w:rPr>
        <w:t>一、集团带量采购当事人</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7</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"_Toc11647" </w:instrText>
      </w:r>
      <w:r>
        <w:fldChar w:fldCharType="separate"/>
      </w:r>
      <w:r>
        <w:rPr>
          <w:rFonts w:ascii="Times New Roman" w:hAnsi="Times New Roman" w:cs="Times New Roman"/>
          <w:color w:val="000000" w:themeColor="text1"/>
          <w:sz w:val="24"/>
          <w:szCs w:val="24"/>
          <w14:textFill>
            <w14:solidFill>
              <w14:schemeClr w14:val="tx1"/>
            </w14:solidFill>
          </w14:textFill>
        </w:rPr>
        <w:t>二、申报材料</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8</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"_Toc3599" </w:instrText>
      </w:r>
      <w:r>
        <w:fldChar w:fldCharType="separate"/>
      </w:r>
      <w:r>
        <w:rPr>
          <w:rFonts w:ascii="Times New Roman" w:hAnsi="Times New Roman" w:cs="Times New Roman"/>
          <w:color w:val="000000" w:themeColor="text1"/>
          <w:sz w:val="24"/>
          <w:szCs w:val="24"/>
          <w14:textFill>
            <w14:solidFill>
              <w14:schemeClr w14:val="tx1"/>
            </w14:solidFill>
          </w14:textFill>
        </w:rPr>
        <w:t>三、</w:t>
      </w:r>
      <w:r>
        <w:rPr>
          <w:rFonts w:hint="eastAsia" w:ascii="Times New Roman" w:hAnsi="Times New Roman" w:cs="Times New Roman"/>
          <w:color w:val="000000" w:themeColor="text1"/>
          <w:sz w:val="24"/>
          <w:szCs w:val="24"/>
          <w14:textFill>
            <w14:solidFill>
              <w14:schemeClr w14:val="tx1"/>
            </w14:solidFill>
          </w14:textFill>
        </w:rPr>
        <w:t>企业</w:t>
      </w:r>
      <w:r>
        <w:rPr>
          <w:rFonts w:hint="eastAsia" w:ascii="Times New Roman" w:hAnsi="Times New Roman" w:cs="Times New Roman"/>
          <w:color w:val="000000" w:themeColor="text1"/>
          <w:sz w:val="24"/>
          <w:szCs w:val="24"/>
          <w:lang w:val="en-US"/>
          <w14:textFill>
            <w14:solidFill>
              <w14:schemeClr w14:val="tx1"/>
            </w14:solidFill>
          </w14:textFill>
        </w:rPr>
        <w:t>梯级</w:t>
      </w:r>
      <w:r>
        <w:rPr>
          <w:rFonts w:hint="eastAsia" w:ascii="Times New Roman" w:hAnsi="Times New Roman" w:cs="Times New Roman"/>
          <w:color w:val="000000" w:themeColor="text1"/>
          <w:sz w:val="24"/>
          <w:szCs w:val="24"/>
          <w14:textFill>
            <w14:solidFill>
              <w14:schemeClr w14:val="tx1"/>
            </w14:solidFill>
          </w14:textFill>
        </w:rPr>
        <w:t>报价</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9</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pPr>
      <w:r>
        <w:fldChar w:fldCharType="begin"/>
      </w:r>
      <w:r>
        <w:instrText xml:space="preserve"> HYPERLINK \l "_Toc3599"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四</w:t>
      </w:r>
      <w:r>
        <w:rPr>
          <w:rFonts w:ascii="Times New Roman" w:hAnsi="Times New Roman" w:cs="Times New Roman"/>
          <w:color w:val="000000" w:themeColor="text1"/>
          <w:sz w:val="24"/>
          <w:szCs w:val="24"/>
          <w14:textFill>
            <w14:solidFill>
              <w14:schemeClr w14:val="tx1"/>
            </w14:solidFill>
          </w14:textFill>
        </w:rPr>
        <w:t>、报价信息解密</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"_Toc18760"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五</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拟中选产品确定</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11</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"_Toc18760"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六、采购协议</w:t>
      </w:r>
      <w:r>
        <w:rPr>
          <w:rFonts w:hint="eastAsia"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15-</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"_Toc18760"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七、</w:t>
      </w:r>
      <w:r>
        <w:rPr>
          <w:rFonts w:ascii="Times New Roman" w:hAnsi="Times New Roman" w:cs="Times New Roman"/>
          <w:color w:val="000000" w:themeColor="text1"/>
          <w:sz w:val="24"/>
          <w:szCs w:val="24"/>
          <w:lang w:val="en-US"/>
          <w14:textFill>
            <w14:solidFill>
              <w14:schemeClr w14:val="tx1"/>
            </w14:solidFill>
          </w14:textFill>
        </w:rPr>
        <w:t>其他</w:t>
      </w:r>
      <w:r>
        <w:rPr>
          <w:rFonts w:hint="eastAsia"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14:textFill>
            <w14:solidFill>
              <w14:schemeClr w14:val="tx1"/>
            </w14:solidFill>
          </w14:textFill>
        </w:rPr>
        <w:t>-15</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"_Toc19152" </w:instrText>
      </w:r>
      <w:r>
        <w:fldChar w:fldCharType="separate"/>
      </w:r>
      <w:r>
        <w:rPr>
          <w:rFonts w:ascii="Times New Roman" w:hAnsi="Times New Roman" w:cs="Times New Roman"/>
          <w:b/>
          <w:bCs/>
          <w:color w:val="000000" w:themeColor="text1"/>
          <w:sz w:val="24"/>
          <w:szCs w:val="24"/>
          <w14:textFill>
            <w14:solidFill>
              <w14:schemeClr w14:val="tx1"/>
            </w14:solidFill>
          </w14:textFill>
        </w:rPr>
        <w:t>第三部分 附件</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7</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"_Toc23586"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附件1</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 xml:space="preserve"> 医药企业价格和营销行为信用承诺书</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7</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"_Toc23586"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 xml:space="preserve">附件2 </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联盟地区药品集团带量采购购销合同</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20</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fldChar w:fldCharType="end"/>
      </w:r>
      <w:r>
        <w:fldChar w:fldCharType="begin"/>
      </w:r>
      <w:r>
        <w:instrText xml:space="preserve"> HYPERLINK \l "_Toc23586"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附</w:t>
      </w:r>
      <w:r>
        <w:rPr>
          <w:rFonts w:hint="eastAsia" w:ascii="Times New Roman" w:hAnsi="Times New Roman" w:cs="Times New Roman"/>
          <w:color w:val="000000" w:themeColor="text1"/>
          <w:sz w:val="24"/>
          <w:szCs w:val="24"/>
          <w:lang w:val="en-US"/>
          <w14:textFill>
            <w14:solidFill>
              <w14:schemeClr w14:val="tx1"/>
            </w14:solidFill>
          </w14:textFill>
        </w:rPr>
        <w:t>表1</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联盟地区药品集团带量采购</w:t>
      </w:r>
      <w:r>
        <w:rPr>
          <w:rFonts w:hint="eastAsia" w:ascii="Times New Roman" w:hAnsi="Times New Roman" w:cs="Times New Roman"/>
          <w:color w:val="000000" w:themeColor="text1"/>
          <w:sz w:val="24"/>
          <w:szCs w:val="24"/>
          <w:lang w:val="en-US"/>
          <w14:textFill>
            <w14:solidFill>
              <w14:schemeClr w14:val="tx1"/>
            </w14:solidFill>
          </w14:textFill>
        </w:rPr>
        <w:t>产品清单</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29</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sectPr>
          <w:pgSz w:w="11910" w:h="16840"/>
          <w:pgMar w:top="1580" w:right="1040" w:bottom="280" w:left="1300" w:header="720" w:footer="720" w:gutter="0"/>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color w:val="000000" w:themeColor="text1"/>
          <w:kern w:val="44"/>
          <w:sz w:val="36"/>
          <w:szCs w:val="36"/>
          <w:lang w:val="en-US" w:bidi="ar-SA"/>
          <w14:textFill>
            <w14:solidFill>
              <w14:schemeClr w14:val="tx1"/>
            </w14:solidFill>
          </w14:textFill>
        </w:rPr>
      </w:pPr>
      <w:bookmarkStart w:id="0" w:name="第一部分_采购邀请"/>
      <w:bookmarkEnd w:id="0"/>
      <w:bookmarkStart w:id="1" w:name="_bookmark0"/>
      <w:bookmarkEnd w:id="1"/>
      <w:bookmarkStart w:id="2" w:name="_Toc17748575"/>
      <w:r>
        <w:rPr>
          <w:rFonts w:ascii="Times New Roman" w:hAnsi="Times New Roman" w:eastAsia="华文中宋" w:cs="Times New Roman"/>
          <w:bCs/>
          <w:color w:val="000000" w:themeColor="text1"/>
          <w:kern w:val="44"/>
          <w:sz w:val="36"/>
          <w:szCs w:val="36"/>
          <w:lang w:val="en-US" w:bidi="ar-SA"/>
          <w14:textFill>
            <w14:solidFill>
              <w14:schemeClr w14:val="tx1"/>
            </w14:solidFill>
          </w14:textFill>
        </w:rPr>
        <w:t>第一部分 采购邀请</w:t>
      </w:r>
      <w:bookmarkEnd w:id="2"/>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为满足医疗机构药品采购需求，促进</w:t>
      </w:r>
      <w:r>
        <w:rPr>
          <w:rFonts w:hint="eastAsia" w:ascii="Times New Roman" w:hAnsi="Times New Roman" w:cs="Times New Roman"/>
          <w:color w:val="000000" w:themeColor="text1"/>
          <w:kern w:val="2"/>
          <w:sz w:val="30"/>
          <w:szCs w:val="30"/>
          <w:lang w:val="en-US" w:bidi="ar-SA"/>
          <w14:textFill>
            <w14:solidFill>
              <w14:schemeClr w14:val="tx1"/>
            </w14:solidFill>
          </w14:textFill>
        </w:rPr>
        <w:t>药品</w:t>
      </w:r>
      <w:r>
        <w:rPr>
          <w:rFonts w:ascii="Times New Roman" w:hAnsi="Times New Roman" w:cs="Times New Roman"/>
          <w:color w:val="000000" w:themeColor="text1"/>
          <w:kern w:val="2"/>
          <w:sz w:val="30"/>
          <w:szCs w:val="30"/>
          <w:lang w:val="en-US" w:bidi="ar-SA"/>
          <w14:textFill>
            <w14:solidFill>
              <w14:schemeClr w14:val="tx1"/>
            </w14:solidFill>
          </w14:textFill>
        </w:rPr>
        <w:t>形成合理市场价格，按照《广东省医疗保障局关于做好药品和医用耗材采购工作的指导意见》（粤医保规〔2020〕2号）的精神，广东省药品交易中心有限公司（以下简称省药交中心）开展</w:t>
      </w:r>
      <w:r>
        <w:rPr>
          <w:rFonts w:hint="eastAsia" w:ascii="Times New Roman" w:hAnsi="Times New Roman" w:cs="Times New Roman"/>
          <w:color w:val="000000" w:themeColor="text1"/>
          <w:kern w:val="2"/>
          <w:sz w:val="30"/>
          <w:szCs w:val="30"/>
          <w:lang w:val="en-US" w:bidi="ar-SA"/>
          <w14:textFill>
            <w14:solidFill>
              <w14:schemeClr w14:val="tx1"/>
            </w14:solidFill>
          </w14:textFill>
        </w:rPr>
        <w:t>阿莫西林等45个</w:t>
      </w:r>
      <w:r>
        <w:rPr>
          <w:rFonts w:ascii="Times New Roman" w:hAnsi="Times New Roman" w:cs="Times New Roman"/>
          <w:color w:val="000000" w:themeColor="text1"/>
          <w:kern w:val="2"/>
          <w:sz w:val="30"/>
          <w:szCs w:val="30"/>
          <w:lang w:val="en-US" w:bidi="ar-SA"/>
          <w14:textFill>
            <w14:solidFill>
              <w14:schemeClr w14:val="tx1"/>
            </w14:solidFill>
          </w14:textFill>
        </w:rPr>
        <w:t>药品联盟地区集团带量采购工作，现邀请符合要求的企业前来申报。</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一、参与采购主体</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本次参与</w:t>
      </w:r>
      <w:r>
        <w:rPr>
          <w:rFonts w:hint="eastAsia" w:ascii="Times New Roman" w:hAnsi="Times New Roman" w:cs="Times New Roman"/>
          <w:color w:val="000000" w:themeColor="text1"/>
          <w:kern w:val="2"/>
          <w:sz w:val="30"/>
          <w:szCs w:val="30"/>
          <w:lang w:val="en-US" w:bidi="ar-SA"/>
          <w14:textFill>
            <w14:solidFill>
              <w14:schemeClr w14:val="tx1"/>
            </w14:solidFill>
          </w14:textFill>
        </w:rPr>
        <w:t>的</w:t>
      </w:r>
      <w:r>
        <w:rPr>
          <w:rFonts w:ascii="Times New Roman" w:hAnsi="Times New Roman" w:cs="Times New Roman"/>
          <w:color w:val="000000" w:themeColor="text1"/>
          <w:kern w:val="2"/>
          <w:sz w:val="30"/>
          <w:szCs w:val="30"/>
          <w:lang w:val="en-US" w:bidi="ar-SA"/>
          <w14:textFill>
            <w14:solidFill>
              <w14:schemeClr w14:val="tx1"/>
            </w14:solidFill>
          </w14:textFill>
        </w:rPr>
        <w:t>采购主体为联盟地区所有公立医疗机构（含军队医疗机构，下同），医保定点社会办医疗机构和定点药店</w:t>
      </w:r>
      <w:r>
        <w:rPr>
          <w:rFonts w:hint="eastAsia" w:ascii="Times New Roman" w:hAnsi="Times New Roman" w:cs="Times New Roman"/>
          <w:color w:val="000000" w:themeColor="text1"/>
          <w:kern w:val="2"/>
          <w:sz w:val="30"/>
          <w:szCs w:val="30"/>
          <w:lang w:val="en-US" w:bidi="ar-SA"/>
          <w14:textFill>
            <w14:solidFill>
              <w14:schemeClr w14:val="tx1"/>
            </w14:solidFill>
          </w14:textFill>
        </w:rPr>
        <w:t>可自愿参加</w:t>
      </w:r>
      <w:r>
        <w:rPr>
          <w:rFonts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二、品种范围</w:t>
      </w:r>
    </w:p>
    <w:p>
      <w:pPr>
        <w:autoSpaceDE/>
        <w:autoSpaceDN/>
        <w:spacing w:line="560" w:lineRule="exact"/>
        <w:ind w:firstLine="600" w:firstLineChars="200"/>
        <w:jc w:val="both"/>
        <w:rPr>
          <w:rFonts w:hint="eastAsia" w:ascii="Times New Roman" w:hAnsi="Times New Roman" w:cs="Times New Roman"/>
          <w:color w:val="000000" w:themeColor="text1"/>
          <w:kern w:val="2"/>
          <w:sz w:val="30"/>
          <w:szCs w:val="30"/>
          <w:lang w:val="en-US" w:bidi="ar-SA"/>
          <w14:textFill>
            <w14:solidFill>
              <w14:schemeClr w14:val="tx1"/>
            </w14:solidFill>
          </w14:textFill>
        </w:rPr>
      </w:pPr>
      <w:bookmarkStart w:id="3" w:name="_Toc17748577"/>
      <w:bookmarkStart w:id="4" w:name="_Toc3139"/>
      <w:r>
        <w:rPr>
          <w:rFonts w:hint="eastAsia" w:ascii="Times New Roman" w:hAnsi="Times New Roman" w:cs="Times New Roman"/>
          <w:color w:val="000000" w:themeColor="text1"/>
          <w:kern w:val="2"/>
          <w:sz w:val="30"/>
          <w:szCs w:val="30"/>
          <w:lang w:val="en-US" w:bidi="ar-SA"/>
          <w14:textFill>
            <w14:solidFill>
              <w14:schemeClr w14:val="tx1"/>
            </w14:solidFill>
          </w14:textFill>
        </w:rPr>
        <w:t>本次药品集团带量采购的品种范围是国家第一、三批集采2021年底到期的阿莫西林等45个同通用名药品（即同品种）的全部剂型及规格，其中国家已集采未到期的剂型</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不列入本次范围。</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若</w:t>
      </w:r>
      <w:r>
        <w:rPr>
          <w:rFonts w:hint="eastAsia" w:ascii="Times New Roman" w:hAnsi="Times New Roman" w:cs="Times New Roman"/>
          <w:color w:val="000000" w:themeColor="text1"/>
          <w:kern w:val="2"/>
          <w:sz w:val="30"/>
          <w:szCs w:val="30"/>
          <w:lang w:val="en-US" w:bidi="ar-SA"/>
          <w14:textFill>
            <w14:solidFill>
              <w14:schemeClr w14:val="tx1"/>
            </w14:solidFill>
          </w14:textFill>
        </w:rPr>
        <w:t>在本采购文件发布当</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日前</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出现</w:t>
      </w:r>
      <w:r>
        <w:rPr>
          <w:rFonts w:ascii="Times New Roman" w:hAnsi="Times New Roman" w:cs="Times New Roman"/>
          <w:color w:val="000000" w:themeColor="text1"/>
          <w:kern w:val="2"/>
          <w:sz w:val="30"/>
          <w:szCs w:val="30"/>
          <w:lang w:val="en-US" w:bidi="ar-SA"/>
          <w14:textFill>
            <w14:solidFill>
              <w14:schemeClr w14:val="tx1"/>
            </w14:solidFill>
          </w14:textFill>
        </w:rPr>
        <w:t>通过一致性评价的仿制药数量超过3</w:t>
      </w:r>
      <w:r>
        <w:rPr>
          <w:rFonts w:hint="eastAsia" w:ascii="Times New Roman" w:hAnsi="Times New Roman" w:cs="Times New Roman"/>
          <w:color w:val="000000" w:themeColor="text1"/>
          <w:kern w:val="2"/>
          <w:sz w:val="30"/>
          <w:szCs w:val="30"/>
          <w:lang w:val="en-US" w:bidi="ar-SA"/>
          <w14:textFill>
            <w14:solidFill>
              <w14:schemeClr w14:val="tx1"/>
            </w14:solidFill>
          </w14:textFill>
        </w:rPr>
        <w:t>个（含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）且国家未集采的剂型（指医保剂型），不列入本次集采范围。</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三、采购周期和采购协议</w:t>
      </w: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 xml:space="preserve"> </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（一）本次</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品种范围的</w:t>
      </w:r>
      <w:r>
        <w:rPr>
          <w:rFonts w:hint="eastAsia" w:ascii="Times New Roman" w:hAnsi="Times New Roman" w:cs="Times New Roman"/>
          <w:color w:val="000000" w:themeColor="text1"/>
          <w:kern w:val="2"/>
          <w:sz w:val="30"/>
          <w:szCs w:val="30"/>
          <w:lang w:val="en-US" w:bidi="ar-SA"/>
          <w14:textFill>
            <w14:solidFill>
              <w14:schemeClr w14:val="tx1"/>
            </w14:solidFill>
          </w14:textFill>
        </w:rPr>
        <w:t>药品</w:t>
      </w:r>
      <w:r>
        <w:rPr>
          <w:rFonts w:ascii="Times New Roman" w:hAnsi="Times New Roman" w:cs="Times New Roman"/>
          <w:color w:val="000000" w:themeColor="text1"/>
          <w:kern w:val="2"/>
          <w:sz w:val="30"/>
          <w:szCs w:val="30"/>
          <w:lang w:val="en-US" w:bidi="ar-SA"/>
          <w14:textFill>
            <w14:solidFill>
              <w14:schemeClr w14:val="tx1"/>
            </w14:solidFill>
          </w14:textFill>
        </w:rPr>
        <w:t>联盟地区带量采购周期至202</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日，自中选结果实际执行日起计算。</w:t>
      </w:r>
    </w:p>
    <w:p>
      <w:pPr>
        <w:numPr>
          <w:ilvl w:val="0"/>
          <w:numId w:val="1"/>
        </w:numPr>
        <w:autoSpaceDE/>
        <w:autoSpaceDN/>
        <w:spacing w:line="560" w:lineRule="exact"/>
        <w:ind w:firstLine="600" w:firstLineChars="200"/>
        <w:jc w:val="both"/>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在采购周期内采购协议</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每年一签</w:t>
      </w:r>
      <w:r>
        <w:rPr>
          <w:rFonts w:ascii="Times New Roman" w:hAnsi="Times New Roman" w:cs="Times New Roman"/>
          <w:color w:val="000000" w:themeColor="text1"/>
          <w:kern w:val="2"/>
          <w:sz w:val="30"/>
          <w:szCs w:val="30"/>
          <w:lang w:val="en-US" w:bidi="ar-SA"/>
          <w14:textFill>
            <w14:solidFill>
              <w14:schemeClr w14:val="tx1"/>
            </w14:solidFill>
          </w14:textFill>
        </w:rPr>
        <w:t>。续签采购协议时，协议采购量</w:t>
      </w:r>
      <w:r>
        <w:rPr>
          <w:rFonts w:hint="eastAsia" w:ascii="Times New Roman" w:hAnsi="Times New Roman" w:cs="Times New Roman"/>
          <w:color w:val="000000" w:themeColor="text1"/>
          <w:kern w:val="2"/>
          <w:sz w:val="30"/>
          <w:szCs w:val="30"/>
          <w:lang w:val="en-US" w:bidi="ar-SA"/>
          <w14:textFill>
            <w14:solidFill>
              <w14:schemeClr w14:val="tx1"/>
            </w14:solidFill>
          </w14:textFill>
        </w:rPr>
        <w:t>根据</w:t>
      </w:r>
      <w:r>
        <w:rPr>
          <w:rFonts w:ascii="Times New Roman" w:hAnsi="Times New Roman" w:cs="Times New Roman"/>
          <w:color w:val="000000" w:themeColor="text1"/>
          <w:kern w:val="2"/>
          <w:sz w:val="30"/>
          <w:szCs w:val="30"/>
          <w:lang w:val="en-US" w:bidi="ar-SA"/>
          <w14:textFill>
            <w14:solidFill>
              <w14:schemeClr w14:val="tx1"/>
            </w14:solidFill>
          </w14:textFill>
        </w:rPr>
        <w:t>首年预采购量</w:t>
      </w:r>
      <w:r>
        <w:rPr>
          <w:rFonts w:hint="eastAsia" w:ascii="Times New Roman" w:hAnsi="Times New Roman" w:cs="Times New Roman"/>
          <w:color w:val="000000" w:themeColor="text1"/>
          <w:kern w:val="2"/>
          <w:sz w:val="30"/>
          <w:szCs w:val="30"/>
          <w:lang w:val="en-US" w:bidi="ar-SA"/>
          <w14:textFill>
            <w14:solidFill>
              <w14:schemeClr w14:val="tx1"/>
            </w14:solidFill>
          </w14:textFill>
        </w:rPr>
        <w:t>按采购年度</w:t>
      </w:r>
      <w:r>
        <w:rPr>
          <w:rFonts w:ascii="Times New Roman" w:hAnsi="Times New Roman" w:cs="Times New Roman"/>
          <w:color w:val="000000" w:themeColor="text1"/>
          <w:kern w:val="2"/>
          <w:sz w:val="30"/>
          <w:szCs w:val="30"/>
          <w:lang w:val="en-US" w:bidi="ar-SA"/>
          <w14:textFill>
            <w14:solidFill>
              <w14:schemeClr w14:val="tx1"/>
            </w14:solidFill>
          </w14:textFill>
        </w:rPr>
        <w:t>折算，原则上不少于</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该中选产品上年协议采购量。</w:t>
      </w:r>
    </w:p>
    <w:p>
      <w:pPr>
        <w:numPr>
          <w:ilvl w:val="0"/>
          <w:numId w:val="0"/>
        </w:numPr>
        <w:autoSpaceDE/>
        <w:autoSpaceDN/>
        <w:spacing w:line="560" w:lineRule="exact"/>
        <w:ind w:firstLine="600" w:firstLineChars="200"/>
        <w:jc w:val="both"/>
        <w:rPr>
          <w:rFonts w:hint="default" w:ascii="Times New Roman" w:hAnsi="Times New Roman"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当实际采购量超过首年约定采购量1倍的，其中选价格按照本企业第2梯级报价与第五条拟中选产品确定第（四）项A/B采购单拟中选价格的确定规则对比确定后的价格续签采购协议。</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（三）</w:t>
      </w:r>
      <w:r>
        <w:rPr>
          <w:rFonts w:ascii="Times New Roman" w:hAnsi="Times New Roman" w:cs="Times New Roman"/>
          <w:color w:val="000000" w:themeColor="text1"/>
          <w:kern w:val="2"/>
          <w:sz w:val="30"/>
          <w:szCs w:val="30"/>
          <w:lang w:val="en-US" w:bidi="ar-SA"/>
          <w14:textFill>
            <w14:solidFill>
              <w14:schemeClr w14:val="tx1"/>
            </w14:solidFill>
          </w14:textFill>
        </w:rPr>
        <w:t>采购周期内医疗机构</w:t>
      </w:r>
      <w:r>
        <w:rPr>
          <w:rFonts w:hint="eastAsia" w:ascii="Times New Roman" w:hAnsi="Times New Roman" w:cs="Times New Roman"/>
          <w:color w:val="000000" w:themeColor="text1"/>
          <w:kern w:val="2"/>
          <w:sz w:val="30"/>
          <w:szCs w:val="30"/>
          <w:lang w:val="en-US" w:bidi="ar-SA"/>
          <w14:textFill>
            <w14:solidFill>
              <w14:schemeClr w14:val="tx1"/>
            </w14:solidFill>
          </w14:textFill>
        </w:rPr>
        <w:t>若提前完成当年协议采购量，超出协议采购量的部分（简称增量），优先采购中选产品，中选企业仍需按中选价格进行供应，直至采购周期届满。</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四、申报资格</w:t>
      </w:r>
      <w:bookmarkEnd w:id="3"/>
      <w:bookmarkEnd w:id="4"/>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符合以下申报要求的企业须在规定时间提交申报材料，未提交的，将影响该企业所涉及药品在联盟地区范围内的药品集团带量采购活动。</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（一）申报企业资格</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提供药品及伴随服务的国内药品生产企业、药品上市许可持有人、药品上市许可持有人（为境外企业）指定的进口药品全国总代理。</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（二）申报品种资格</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1.属本次</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品种</w:t>
      </w:r>
      <w:r>
        <w:rPr>
          <w:rFonts w:ascii="Times New Roman" w:hAnsi="Times New Roman" w:cs="Times New Roman"/>
          <w:color w:val="000000" w:themeColor="text1"/>
          <w:kern w:val="2"/>
          <w:sz w:val="30"/>
          <w:szCs w:val="30"/>
          <w:lang w:val="en-US" w:bidi="ar-SA"/>
          <w14:textFill>
            <w14:solidFill>
              <w14:schemeClr w14:val="tx1"/>
            </w14:solidFill>
          </w14:textFill>
        </w:rPr>
        <w:t>采购范围</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并</w:t>
      </w:r>
      <w:r>
        <w:rPr>
          <w:rFonts w:ascii="Times New Roman" w:hAnsi="Times New Roman" w:cs="Times New Roman"/>
          <w:color w:val="000000" w:themeColor="text1"/>
          <w:kern w:val="2"/>
          <w:sz w:val="30"/>
          <w:szCs w:val="30"/>
          <w:lang w:val="en-US" w:bidi="ar-SA"/>
          <w14:textFill>
            <w14:solidFill>
              <w14:schemeClr w14:val="tx1"/>
            </w14:solidFill>
          </w14:textFill>
        </w:rPr>
        <w:t>获得国内有效注册批件的上市药品，且满足以下要求之一：</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（1）原研药及药品监督管理</w:t>
      </w:r>
      <w:r>
        <w:rPr>
          <w:rFonts w:hint="eastAsia" w:ascii="Times New Roman" w:hAnsi="Times New Roman" w:cs="Times New Roman"/>
          <w:color w:val="000000" w:themeColor="text1"/>
          <w:kern w:val="2"/>
          <w:sz w:val="30"/>
          <w:szCs w:val="30"/>
          <w:lang w:val="en-US" w:bidi="ar-SA"/>
          <w14:textFill>
            <w14:solidFill>
              <w14:schemeClr w14:val="tx1"/>
            </w14:solidFill>
          </w14:textFill>
        </w:rPr>
        <w:t>部门</w:t>
      </w:r>
      <w:r>
        <w:rPr>
          <w:rFonts w:ascii="Times New Roman" w:hAnsi="Times New Roman" w:cs="Times New Roman"/>
          <w:color w:val="000000" w:themeColor="text1"/>
          <w:kern w:val="2"/>
          <w:sz w:val="30"/>
          <w:szCs w:val="30"/>
          <w:lang w:val="en-US" w:bidi="ar-SA"/>
          <w14:textFill>
            <w14:solidFill>
              <w14:schemeClr w14:val="tx1"/>
            </w14:solidFill>
          </w14:textFill>
        </w:rPr>
        <w:t>发布的仿制药质量和疗效一致性评价参比制剂。</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（2）通过药品监督管理</w:t>
      </w:r>
      <w:r>
        <w:rPr>
          <w:rFonts w:hint="eastAsia" w:ascii="Times New Roman" w:hAnsi="Times New Roman" w:cs="Times New Roman"/>
          <w:color w:val="000000" w:themeColor="text1"/>
          <w:kern w:val="2"/>
          <w:sz w:val="30"/>
          <w:szCs w:val="30"/>
          <w:lang w:val="en-US" w:bidi="ar-SA"/>
          <w14:textFill>
            <w14:solidFill>
              <w14:schemeClr w14:val="tx1"/>
            </w14:solidFill>
          </w14:textFill>
        </w:rPr>
        <w:t>部门</w:t>
      </w:r>
      <w:r>
        <w:rPr>
          <w:rFonts w:ascii="Times New Roman" w:hAnsi="Times New Roman" w:cs="Times New Roman"/>
          <w:color w:val="000000" w:themeColor="text1"/>
          <w:kern w:val="2"/>
          <w:sz w:val="30"/>
          <w:szCs w:val="30"/>
          <w:lang w:val="en-US" w:bidi="ar-SA"/>
          <w14:textFill>
            <w14:solidFill>
              <w14:schemeClr w14:val="tx1"/>
            </w14:solidFill>
          </w14:textFill>
        </w:rPr>
        <w:t>仿制药质量和疗效一致性评价的仿制药品。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（3）根据《国家食品药品监督管理总局关于发布化学药品注册分类改革工作方案的公告》</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〔2016 年第 51 号〕</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，按化学药品新注册分类批准的仿制药品。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（4）纳入《中国上市药品目录集》的药品。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2.属本次</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品种</w:t>
      </w:r>
      <w:r>
        <w:rPr>
          <w:rFonts w:ascii="Times New Roman" w:hAnsi="Times New Roman" w:cs="Times New Roman"/>
          <w:color w:val="000000" w:themeColor="text1"/>
          <w:kern w:val="2"/>
          <w:sz w:val="30"/>
          <w:szCs w:val="30"/>
          <w:lang w:val="en-US" w:bidi="ar-SA"/>
          <w14:textFill>
            <w14:solidFill>
              <w14:schemeClr w14:val="tx1"/>
            </w14:solidFill>
          </w14:textFill>
        </w:rPr>
        <w:t>采购范围</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并</w:t>
      </w:r>
      <w:r>
        <w:rPr>
          <w:rFonts w:ascii="Times New Roman" w:hAnsi="Times New Roman" w:cs="Times New Roman"/>
          <w:color w:val="000000" w:themeColor="text1"/>
          <w:kern w:val="2"/>
          <w:sz w:val="30"/>
          <w:szCs w:val="30"/>
          <w:lang w:val="en-US" w:bidi="ar-SA"/>
          <w14:textFill>
            <w14:solidFill>
              <w14:schemeClr w14:val="tx1"/>
            </w14:solidFill>
          </w14:textFill>
        </w:rPr>
        <w:t>获得国内有效注册批件，但尚未通过一致性评价的上市药品。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根据《国务院办公厅关于开展仿制药质量和疗效一致性评价的意见》（国办发〔2016〕8号）和《国务院办公厅关于推动药品集中带量采购工作常态化制度化开展的意见》（国办发〔2021〕2号）要求，通过一致性评价的仿制药数量超过3</w:t>
      </w:r>
      <w:r>
        <w:rPr>
          <w:rFonts w:hint="eastAsia" w:ascii="Times New Roman" w:hAnsi="Times New Roman" w:cs="Times New Roman"/>
          <w:color w:val="000000" w:themeColor="text1"/>
          <w:kern w:val="2"/>
          <w:sz w:val="30"/>
          <w:szCs w:val="30"/>
          <w:lang w:val="en-US" w:bidi="ar-SA"/>
          <w14:textFill>
            <w14:solidFill>
              <w14:schemeClr w14:val="tx1"/>
            </w14:solidFill>
          </w14:textFill>
        </w:rPr>
        <w:t>个（含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）且国家已集采的剂型（指医保剂型）</w:t>
      </w:r>
      <w:r>
        <w:rPr>
          <w:rFonts w:ascii="Times New Roman" w:hAnsi="Times New Roman" w:cs="Times New Roman"/>
          <w:color w:val="000000" w:themeColor="text1"/>
          <w:kern w:val="2"/>
          <w:sz w:val="30"/>
          <w:szCs w:val="30"/>
          <w:lang w:val="en-US" w:bidi="ar-SA"/>
          <w14:textFill>
            <w14:solidFill>
              <w14:schemeClr w14:val="tx1"/>
            </w14:solidFill>
          </w14:textFill>
        </w:rPr>
        <w:t>，未通过一致性评价的</w:t>
      </w:r>
      <w:r>
        <w:rPr>
          <w:rFonts w:hint="eastAsia" w:ascii="Times New Roman" w:hAnsi="Times New Roman" w:cs="Times New Roman"/>
          <w:color w:val="000000" w:themeColor="text1"/>
          <w:kern w:val="2"/>
          <w:sz w:val="30"/>
          <w:szCs w:val="30"/>
          <w:lang w:val="en-US" w:bidi="ar-SA"/>
          <w14:textFill>
            <w14:solidFill>
              <w14:schemeClr w14:val="tx1"/>
            </w14:solidFill>
          </w14:textFill>
        </w:rPr>
        <w:t>仿制药</w:t>
      </w:r>
      <w:r>
        <w:rPr>
          <w:rFonts w:ascii="Times New Roman" w:hAnsi="Times New Roman" w:cs="Times New Roman"/>
          <w:color w:val="000000" w:themeColor="text1"/>
          <w:kern w:val="2"/>
          <w:sz w:val="30"/>
          <w:szCs w:val="30"/>
          <w:lang w:val="en-US" w:bidi="ar-SA"/>
          <w14:textFill>
            <w14:solidFill>
              <w14:schemeClr w14:val="tx1"/>
            </w14:solidFill>
          </w14:textFill>
        </w:rPr>
        <w:t>不符合申报资格</w:t>
      </w:r>
      <w:r>
        <w:rPr>
          <w:rFonts w:hint="eastAsia" w:ascii="Times New Roman" w:hAnsi="Times New Roman" w:cs="Times New Roman"/>
          <w:color w:val="000000" w:themeColor="text1"/>
          <w:kern w:val="2"/>
          <w:sz w:val="30"/>
          <w:szCs w:val="30"/>
          <w:lang w:val="en-US" w:bidi="ar-SA"/>
          <w14:textFill>
            <w14:solidFill>
              <w14:schemeClr w14:val="tx1"/>
            </w14:solidFill>
          </w14:textFill>
        </w:rPr>
        <w:t>，认定截止时间为本采购文件发布当</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日</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（三）其他申报要求</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1.申报企业须确保在采购周期内满足联盟地区采购主体</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的采购需求</w:t>
      </w:r>
      <w:r>
        <w:rPr>
          <w:rFonts w:hint="eastAsia" w:ascii="Times New Roman" w:hAnsi="Times New Roman" w:cs="Times New Roman"/>
          <w:color w:val="000000" w:themeColor="text1"/>
          <w:kern w:val="2"/>
          <w:sz w:val="30"/>
          <w:szCs w:val="30"/>
          <w:lang w:val="en-US" w:bidi="ar-SA"/>
          <w14:textFill>
            <w14:solidFill>
              <w14:schemeClr w14:val="tx1"/>
            </w14:solidFill>
          </w14:textFill>
        </w:rPr>
        <w:t>，包括预采购量以及超过预采购量的部分。</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2.申报企业需明确供应产品清单以及供应主体范围（即公立医疗机构/</w:t>
      </w:r>
      <w:r>
        <w:rPr>
          <w:rFonts w:ascii="Times New Roman" w:hAnsi="Times New Roman" w:cs="Times New Roman"/>
          <w:color w:val="000000" w:themeColor="text1"/>
          <w:kern w:val="2"/>
          <w:sz w:val="30"/>
          <w:szCs w:val="30"/>
          <w:lang w:val="en-US" w:bidi="ar-SA"/>
          <w14:textFill>
            <w14:solidFill>
              <w14:schemeClr w14:val="tx1"/>
            </w14:solidFill>
          </w14:textFill>
        </w:rPr>
        <w:t>医保定点社会办医疗机构</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定点药店</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3.申报企业应遵守《专利法》《反不正当竞争法》等相关法律法规，并承担相应法律责任。</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4.申报企业未被列入当前《全国医药价格和招采失信企业风险警示名单》。</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5.申报药品应当符合国家药品标准和经药品监督管理部门核准的药品质量标准，并按照国家药监局药审中心关于发布《化学药物中亚硝胺类杂质研究技术指导原则（试行）》的通告（2020年1号）组织生产。</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五、采购产品清单</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本次联盟地区集团带量</w:t>
      </w:r>
      <w:r>
        <w:rPr>
          <w:rFonts w:ascii="Times New Roman" w:hAnsi="Times New Roman" w:cs="Times New Roman"/>
          <w:color w:val="000000" w:themeColor="text1"/>
          <w:kern w:val="2"/>
          <w:sz w:val="30"/>
          <w:szCs w:val="30"/>
          <w:lang w:val="en-US" w:bidi="ar-SA"/>
          <w14:textFill>
            <w14:solidFill>
              <w14:schemeClr w14:val="tx1"/>
            </w14:solidFill>
          </w14:textFill>
        </w:rPr>
        <w:t>采购</w:t>
      </w:r>
      <w:r>
        <w:rPr>
          <w:rFonts w:hint="eastAsia" w:ascii="Times New Roman" w:hAnsi="Times New Roman" w:cs="Times New Roman"/>
          <w:color w:val="000000" w:themeColor="text1"/>
          <w:kern w:val="2"/>
          <w:sz w:val="30"/>
          <w:szCs w:val="30"/>
          <w:lang w:val="en-US" w:bidi="ar-SA"/>
          <w14:textFill>
            <w14:solidFill>
              <w14:schemeClr w14:val="tx1"/>
            </w14:solidFill>
          </w14:textFill>
        </w:rPr>
        <w:t>产品清单以品种序号和类别区分详见附表1。</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（一）医疗机构的报量</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本次品种范围的药品</w:t>
      </w:r>
      <w:r>
        <w:rPr>
          <w:rFonts w:ascii="Times New Roman" w:hAnsi="Times New Roman" w:cs="Times New Roman"/>
          <w:color w:val="000000" w:themeColor="text1"/>
          <w:kern w:val="2"/>
          <w:sz w:val="30"/>
          <w:szCs w:val="30"/>
          <w:lang w:val="en-US" w:bidi="ar-SA"/>
          <w14:textFill>
            <w14:solidFill>
              <w14:schemeClr w14:val="tx1"/>
            </w14:solidFill>
          </w14:textFill>
        </w:rPr>
        <w:t>参与报量的联盟地区包括广东、</w:t>
      </w:r>
      <w:r>
        <w:rPr>
          <w:rFonts w:hint="eastAsia" w:ascii="Times New Roman" w:hAnsi="Times New Roman" w:cs="Times New Roman"/>
          <w:color w:val="000000" w:themeColor="text1"/>
          <w:kern w:val="2"/>
          <w:sz w:val="30"/>
          <w:szCs w:val="30"/>
          <w:lang w:val="en-US" w:bidi="ar-SA"/>
          <w14:textFill>
            <w14:solidFill>
              <w14:schemeClr w14:val="tx1"/>
            </w14:solidFill>
          </w14:textFill>
        </w:rPr>
        <w:t>山西、江西、河南、湖南、广西、海南、贵州、甘肃、青海、宁夏、新疆、新疆生产建设兵团。</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2.</w:t>
      </w:r>
      <w:r>
        <w:rPr>
          <w:rFonts w:ascii="Times New Roman" w:hAnsi="Times New Roman" w:cs="Times New Roman"/>
          <w:color w:val="000000" w:themeColor="text1"/>
          <w:kern w:val="2"/>
          <w:sz w:val="30"/>
          <w:szCs w:val="30"/>
          <w:lang w:val="en-US" w:bidi="ar-SA"/>
          <w14:textFill>
            <w14:solidFill>
              <w14:schemeClr w14:val="tx1"/>
            </w14:solidFill>
          </w14:textFill>
        </w:rPr>
        <w:t>采购产品清单</w:t>
      </w:r>
      <w:r>
        <w:rPr>
          <w:rFonts w:hint="eastAsia" w:ascii="Times New Roman" w:hAnsi="Times New Roman" w:cs="Times New Roman"/>
          <w:color w:val="000000" w:themeColor="text1"/>
          <w:kern w:val="2"/>
          <w:sz w:val="30"/>
          <w:szCs w:val="30"/>
          <w:lang w:val="en-US" w:bidi="ar-SA"/>
          <w14:textFill>
            <w14:solidFill>
              <w14:schemeClr w14:val="tx1"/>
            </w14:solidFill>
          </w14:textFill>
        </w:rPr>
        <w:t>区分过评类和非过评类，过评</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类药品</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由</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公立</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医疗机构对应批准文号、剂型、规格等填报下年度预采购量</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，按照同</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品种序号同医保剂型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分别计算每一家企业下年度预采购总量占联盟地区</w:t>
      </w:r>
      <w:r>
        <w:rPr>
          <w:rFonts w:hint="eastAsia" w:ascii="Times New Roman" w:hAnsi="Times New Roman" w:cs="Times New Roman"/>
          <w:color w:val="000000" w:themeColor="text1"/>
          <w:kern w:val="2"/>
          <w:sz w:val="30"/>
          <w:szCs w:val="30"/>
          <w:lang w:val="en-US" w:bidi="ar-SA"/>
          <w14:textFill>
            <w14:solidFill>
              <w14:schemeClr w14:val="tx1"/>
            </w14:solidFill>
          </w14:textFill>
        </w:rPr>
        <w:t>下年度预采购总量的比例，按其占比从高到低累计达？%的企业列入过评A采购单，剩余的列入过评B采购单。非过评类全部列入非过评B采购单。上述预采购量仅按公立医疗机构填报的</w:t>
      </w:r>
      <w:r>
        <w:rPr>
          <w:rFonts w:ascii="Times New Roman" w:hAnsi="Times New Roman" w:cs="Times New Roman"/>
          <w:color w:val="000000" w:themeColor="text1"/>
          <w:kern w:val="2"/>
          <w:sz w:val="30"/>
          <w:szCs w:val="30"/>
          <w:lang w:val="en-US" w:bidi="ar-SA"/>
          <w14:textFill>
            <w14:solidFill>
              <w14:schemeClr w14:val="tx1"/>
            </w14:solidFill>
          </w14:textFill>
        </w:rPr>
        <w:t>下年度预采购量</w:t>
      </w:r>
      <w:r>
        <w:rPr>
          <w:rFonts w:hint="eastAsia" w:ascii="Times New Roman" w:hAnsi="Times New Roman" w:cs="Times New Roman"/>
          <w:color w:val="000000" w:themeColor="text1"/>
          <w:kern w:val="2"/>
          <w:sz w:val="30"/>
          <w:szCs w:val="30"/>
          <w:lang w:val="en-US" w:bidi="ar-SA"/>
          <w14:textFill>
            <w14:solidFill>
              <w14:schemeClr w14:val="tx1"/>
            </w14:solidFill>
          </w14:textFill>
        </w:rPr>
        <w:t>进行统计，</w:t>
      </w:r>
      <w:r>
        <w:rPr>
          <w:rFonts w:ascii="Times New Roman" w:hAnsi="Times New Roman" w:cs="Times New Roman"/>
          <w:color w:val="000000" w:themeColor="text1"/>
          <w:kern w:val="2"/>
          <w:sz w:val="30"/>
          <w:szCs w:val="30"/>
          <w:lang w:val="en-US" w:bidi="ar-SA"/>
          <w14:textFill>
            <w14:solidFill>
              <w14:schemeClr w14:val="tx1"/>
            </w14:solidFill>
          </w14:textFill>
        </w:rPr>
        <w:t>医保定点社会办医疗机构</w:t>
      </w:r>
      <w:r>
        <w:rPr>
          <w:rFonts w:hint="eastAsia" w:ascii="Times New Roman" w:hAnsi="Times New Roman" w:cs="Times New Roman"/>
          <w:color w:val="000000" w:themeColor="text1"/>
          <w:kern w:val="2"/>
          <w:sz w:val="30"/>
          <w:szCs w:val="30"/>
          <w:lang w:val="en-US" w:bidi="ar-SA"/>
          <w14:textFill>
            <w14:solidFill>
              <w14:schemeClr w14:val="tx1"/>
            </w14:solidFill>
          </w14:textFill>
        </w:rPr>
        <w:t>和</w:t>
      </w:r>
      <w:r>
        <w:rPr>
          <w:rFonts w:ascii="Times New Roman" w:hAnsi="Times New Roman" w:cs="Times New Roman"/>
          <w:color w:val="000000" w:themeColor="text1"/>
          <w:kern w:val="2"/>
          <w:sz w:val="30"/>
          <w:szCs w:val="30"/>
          <w:lang w:val="en-US" w:bidi="ar-SA"/>
          <w14:textFill>
            <w14:solidFill>
              <w14:schemeClr w14:val="tx1"/>
            </w14:solidFill>
          </w14:textFill>
        </w:rPr>
        <w:t>定点药店</w:t>
      </w:r>
      <w:r>
        <w:rPr>
          <w:rFonts w:hint="eastAsia" w:ascii="Times New Roman" w:hAnsi="Times New Roman" w:cs="Times New Roman"/>
          <w:color w:val="000000" w:themeColor="text1"/>
          <w:kern w:val="2"/>
          <w:sz w:val="30"/>
          <w:szCs w:val="30"/>
          <w:lang w:val="en-US" w:bidi="ar-SA"/>
          <w14:textFill>
            <w14:solidFill>
              <w14:schemeClr w14:val="tx1"/>
            </w14:solidFill>
          </w14:textFill>
        </w:rPr>
        <w:t>另行单独统计。</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3.不同通用名药品合并竞价的，按照同品种序号和类别计算每一家企业下年度预采购总量占联盟地区下年度预采购总量的比例。</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若在本采购文件发布</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当日之</w:t>
      </w:r>
      <w:r>
        <w:rPr>
          <w:rFonts w:hint="eastAsia" w:ascii="Times New Roman" w:hAnsi="Times New Roman" w:cs="Times New Roman"/>
          <w:color w:val="000000" w:themeColor="text1"/>
          <w:kern w:val="2"/>
          <w:sz w:val="30"/>
          <w:szCs w:val="30"/>
          <w:lang w:val="en-US" w:bidi="ar-SA"/>
          <w14:textFill>
            <w14:solidFill>
              <w14:schemeClr w14:val="tx1"/>
            </w14:solidFill>
          </w14:textFill>
        </w:rPr>
        <w:t>后通过一致性评价的，但本采购文件所列为非过评的产品，其医疗机构</w:t>
      </w:r>
      <w:r>
        <w:rPr>
          <w:rFonts w:ascii="Times New Roman" w:hAnsi="Times New Roman" w:cs="Times New Roman"/>
          <w:color w:val="000000" w:themeColor="text1"/>
          <w:kern w:val="2"/>
          <w:sz w:val="30"/>
          <w:szCs w:val="30"/>
          <w:lang w:val="en-US" w:bidi="ar-SA"/>
          <w14:textFill>
            <w14:solidFill>
              <w14:schemeClr w14:val="tx1"/>
            </w14:solidFill>
          </w14:textFill>
        </w:rPr>
        <w:t>下年度预采购量</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仍</w:t>
      </w:r>
      <w:r>
        <w:rPr>
          <w:rFonts w:hint="eastAsia" w:ascii="Times New Roman" w:hAnsi="Times New Roman" w:cs="Times New Roman"/>
          <w:color w:val="000000" w:themeColor="text1"/>
          <w:kern w:val="2"/>
          <w:sz w:val="30"/>
          <w:szCs w:val="30"/>
          <w:lang w:val="en-US" w:bidi="ar-SA"/>
          <w14:textFill>
            <w14:solidFill>
              <w14:schemeClr w14:val="tx1"/>
            </w14:solidFill>
          </w14:textFill>
        </w:rPr>
        <w:t>按非过评进行归类。</w:t>
      </w:r>
    </w:p>
    <w:p>
      <w:pPr>
        <w:autoSpaceDE/>
        <w:autoSpaceDN/>
        <w:spacing w:line="560" w:lineRule="exact"/>
        <w:ind w:firstLine="602" w:firstLineChars="200"/>
        <w:jc w:val="both"/>
        <w:rPr>
          <w:lang w:val="en-US"/>
        </w:rPr>
      </w:pPr>
      <w:r>
        <w:rPr>
          <w:rFonts w:ascii="Times New Roman" w:hAnsi="Times New Roman" w:cs="Times New Roman"/>
          <w:b/>
          <w:bCs/>
          <w:color w:val="000000" w:themeColor="text1"/>
          <w:kern w:val="2"/>
          <w:sz w:val="30"/>
          <w:szCs w:val="30"/>
          <w:lang w:val="en-US" w:bidi="ar-SA"/>
          <w14:textFill>
            <w14:solidFill>
              <w14:schemeClr w14:val="tx1"/>
            </w14:solidFill>
          </w14:textFill>
        </w:rPr>
        <w:t>（二） 采购单的形成</w:t>
      </w:r>
    </w:p>
    <w:p>
      <w:pPr>
        <w:autoSpaceDE/>
        <w:autoSpaceDN/>
        <w:spacing w:line="60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1.采购产品清单</w:t>
      </w:r>
      <w:r>
        <w:rPr>
          <w:rFonts w:ascii="Times New Roman" w:hAnsi="Times New Roman" w:cs="Times New Roman"/>
          <w:color w:val="000000" w:themeColor="text1"/>
          <w:kern w:val="2"/>
          <w:sz w:val="30"/>
          <w:szCs w:val="30"/>
          <w:lang w:val="en-US" w:bidi="ar-SA"/>
          <w14:textFill>
            <w14:solidFill>
              <w14:schemeClr w14:val="tx1"/>
            </w14:solidFill>
          </w14:textFill>
        </w:rPr>
        <w:t>分为两类：</w:t>
      </w:r>
    </w:p>
    <w:p>
      <w:pPr>
        <w:autoSpaceDE/>
        <w:autoSpaceDN/>
        <w:spacing w:line="60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ascii="Times New Roman" w:hAnsi="Times New Roman" w:cs="Times New Roman"/>
          <w:color w:val="000000" w:themeColor="text1"/>
          <w:kern w:val="2"/>
          <w:sz w:val="30"/>
          <w:szCs w:val="30"/>
          <w:lang w:val="en-US" w:bidi="ar-SA"/>
          <w14:textFill>
            <w14:solidFill>
              <w14:schemeClr w14:val="tx1"/>
            </w14:solidFill>
          </w14:textFill>
        </w:rPr>
        <w:t>通过一</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致性评价的仿制药、原研药和参比制剂</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归为过评类。</w:t>
      </w:r>
    </w:p>
    <w:p>
      <w:pPr>
        <w:autoSpaceDE/>
        <w:autoSpaceDN/>
        <w:spacing w:line="60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①若符合报名资格同</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品种序号同医保剂型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过评B采购单仅有1家的，列入过评A采购单，不设过评B采购单。</w:t>
      </w:r>
    </w:p>
    <w:p>
      <w:pPr>
        <w:autoSpaceDE/>
        <w:autoSpaceDN/>
        <w:spacing w:line="60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②若不同通用名药品合并竞价的，同是</w:t>
      </w:r>
      <w:r>
        <w:rPr>
          <w:rFonts w:ascii="Times New Roman" w:hAnsi="Times New Roman" w:cs="Times New Roman"/>
          <w:color w:val="000000" w:themeColor="text1"/>
          <w:kern w:val="2"/>
          <w:sz w:val="30"/>
          <w:szCs w:val="30"/>
          <w:lang w:val="en-US" w:bidi="ar-SA"/>
          <w14:textFill>
            <w14:solidFill>
              <w14:schemeClr w14:val="tx1"/>
            </w14:solidFill>
          </w14:textFill>
        </w:rPr>
        <w:t>通过一致性评价的仿制药、原研药和参比制剂</w:t>
      </w:r>
      <w:r>
        <w:rPr>
          <w:rFonts w:hint="eastAsia" w:ascii="Times New Roman" w:hAnsi="Times New Roman" w:cs="Times New Roman"/>
          <w:color w:val="000000" w:themeColor="text1"/>
          <w:kern w:val="2"/>
          <w:sz w:val="30"/>
          <w:szCs w:val="30"/>
          <w:lang w:val="en-US" w:bidi="ar-SA"/>
          <w14:textFill>
            <w14:solidFill>
              <w14:schemeClr w14:val="tx1"/>
            </w14:solidFill>
          </w14:textFill>
        </w:rPr>
        <w:t>列入过评A采购单。</w:t>
      </w:r>
    </w:p>
    <w:p>
      <w:pPr>
        <w:autoSpaceDE/>
        <w:autoSpaceDN/>
        <w:spacing w:line="60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③若同通用名剂型为独家的，原则可按同一给药途径</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或存在差比价关系的剂型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合并采购单。</w:t>
      </w:r>
    </w:p>
    <w:p>
      <w:pPr>
        <w:numPr>
          <w:ilvl w:val="0"/>
          <w:numId w:val="2"/>
        </w:numPr>
        <w:autoSpaceDE/>
        <w:autoSpaceDN/>
        <w:spacing w:line="600" w:lineRule="exact"/>
        <w:ind w:firstLine="600" w:firstLineChars="200"/>
        <w:jc w:val="both"/>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未通</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过一致性评价的仿制药归为非过评类</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，仅设非过评B采购单；同品种存在差比价关系的剂型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合并</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类别竞价</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p>
    <w:p>
      <w:pPr>
        <w:numPr>
          <w:ilvl w:val="0"/>
          <w:numId w:val="2"/>
        </w:numPr>
        <w:autoSpaceDE/>
        <w:autoSpaceDN/>
        <w:spacing w:line="600" w:lineRule="exact"/>
        <w:ind w:firstLine="600" w:firstLineChars="200"/>
        <w:jc w:val="both"/>
        <w:rPr>
          <w:rFonts w:hint="default" w:ascii="Times New Roman" w:hAnsi="Times New Roman"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若</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同</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品种序号同医保剂型过评</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采购单仅有1家的，且非过评B采购单仅有1家的，过评与非过评合并列入过评A采购单。</w:t>
      </w:r>
    </w:p>
    <w:p>
      <w:pPr>
        <w:numPr>
          <w:ilvl w:val="0"/>
          <w:numId w:val="0"/>
        </w:num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2.</w:t>
      </w:r>
      <w:r>
        <w:rPr>
          <w:rFonts w:hint="eastAsia" w:ascii="Times New Roman" w:hAnsi="Times New Roman" w:cs="Times New Roman"/>
          <w:color w:val="000000" w:themeColor="text1"/>
          <w:kern w:val="2"/>
          <w:sz w:val="30"/>
          <w:szCs w:val="30"/>
          <w:lang w:val="en-US" w:bidi="ar-SA"/>
          <w14:textFill>
            <w14:solidFill>
              <w14:schemeClr w14:val="tx1"/>
            </w14:solidFill>
          </w14:textFill>
        </w:rPr>
        <w:t>上述A、B采购单中选结果按各类别竞价形成。在A采购单中符合报名资格的企业仅参加A采购单竞价，除A采购单外，其他符合报名资格的企业参加B采购单竞价。</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首年预采购量按联盟地区</w:t>
      </w:r>
      <w:r>
        <w:rPr>
          <w:rFonts w:hint="eastAsia" w:ascii="Times New Roman" w:hAnsi="Times New Roman" w:cs="Times New Roman"/>
          <w:color w:val="000000" w:themeColor="text1"/>
          <w:kern w:val="2"/>
          <w:sz w:val="30"/>
          <w:szCs w:val="30"/>
          <w:lang w:val="en-US" w:bidi="ar-SA"/>
          <w14:textFill>
            <w14:solidFill>
              <w14:schemeClr w14:val="tx1"/>
            </w14:solidFill>
          </w14:textFill>
        </w:rPr>
        <w:t>公立</w:t>
      </w:r>
      <w:r>
        <w:rPr>
          <w:rFonts w:ascii="Times New Roman" w:hAnsi="Times New Roman" w:cs="Times New Roman"/>
          <w:color w:val="000000" w:themeColor="text1"/>
          <w:kern w:val="2"/>
          <w:sz w:val="30"/>
          <w:szCs w:val="30"/>
          <w:lang w:val="en-US" w:bidi="ar-SA"/>
          <w14:textFill>
            <w14:solidFill>
              <w14:schemeClr w14:val="tx1"/>
            </w14:solidFill>
          </w14:textFill>
        </w:rPr>
        <w:t>医疗机构报送的采购总需求确定，首年预采购量情况见下表</w:t>
      </w:r>
      <w:r>
        <w:rPr>
          <w:rFonts w:hint="eastAsia" w:ascii="Times New Roman" w:hAnsi="Times New Roman" w:cs="Times New Roman"/>
          <w:color w:val="000000" w:themeColor="text1"/>
          <w:kern w:val="2"/>
          <w:sz w:val="30"/>
          <w:szCs w:val="30"/>
          <w:lang w:val="en-US" w:bidi="ar-SA"/>
          <w14:textFill>
            <w14:solidFill>
              <w14:schemeClr w14:val="tx1"/>
            </w14:solidFill>
          </w14:textFill>
        </w:rPr>
        <w:t>（正式文件公布）</w:t>
      </w:r>
      <w:r>
        <w:rPr>
          <w:rFonts w:ascii="Times New Roman" w:hAnsi="Times New Roman" w:cs="Times New Roman"/>
          <w:color w:val="000000" w:themeColor="text1"/>
          <w:kern w:val="2"/>
          <w:sz w:val="30"/>
          <w:szCs w:val="30"/>
          <w:lang w:val="en-US" w:bidi="ar-SA"/>
          <w14:textFill>
            <w14:solidFill>
              <w14:schemeClr w14:val="tx1"/>
            </w14:solidFill>
          </w14:textFill>
        </w:rPr>
        <w:t xml:space="preserve">：  </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六、采购执行说明</w:t>
      </w:r>
    </w:p>
    <w:p>
      <w:pPr>
        <w:pStyle w:val="2"/>
        <w:spacing w:line="600" w:lineRule="exact"/>
        <w:ind w:firstLine="600" w:firstLineChars="200"/>
        <w:rPr>
          <w:rFonts w:hint="default" w:ascii="Times New Roman" w:hAnsi="Times New Roman"/>
          <w:color w:val="000000" w:themeColor="text1"/>
          <w:kern w:val="2"/>
          <w:sz w:val="30"/>
          <w:szCs w:val="30"/>
          <w14:textFill>
            <w14:solidFill>
              <w14:schemeClr w14:val="tx1"/>
            </w14:solidFill>
          </w14:textFill>
        </w:rPr>
      </w:pPr>
      <w:bookmarkStart w:id="5" w:name="_Toc15364"/>
      <w:bookmarkStart w:id="6" w:name="_Toc17748580"/>
      <w:r>
        <w:rPr>
          <w:rFonts w:ascii="Times New Roman" w:hAnsi="Times New Roman" w:eastAsia="仿宋"/>
          <w:color w:val="000000" w:themeColor="text1"/>
          <w:kern w:val="2"/>
          <w:sz w:val="30"/>
          <w:szCs w:val="30"/>
          <w14:textFill>
            <w14:solidFill>
              <w14:schemeClr w14:val="tx1"/>
            </w14:solidFill>
          </w14:textFill>
        </w:rPr>
        <w:t>1.</w:t>
      </w:r>
      <w:r>
        <w:rPr>
          <w:rFonts w:hint="default" w:ascii="Times New Roman" w:hAnsi="Times New Roman" w:eastAsia="仿宋"/>
          <w:color w:val="000000" w:themeColor="text1"/>
          <w:kern w:val="2"/>
          <w:sz w:val="30"/>
          <w:szCs w:val="30"/>
          <w14:textFill>
            <w14:solidFill>
              <w14:schemeClr w14:val="tx1"/>
            </w14:solidFill>
          </w14:textFill>
        </w:rPr>
        <w:t>采购周期内，</w:t>
      </w:r>
      <w:r>
        <w:rPr>
          <w:rFonts w:ascii="Times New Roman" w:hAnsi="Times New Roman" w:eastAsia="仿宋"/>
          <w:color w:val="000000" w:themeColor="text1"/>
          <w:kern w:val="2"/>
          <w:sz w:val="30"/>
          <w:szCs w:val="30"/>
          <w14:textFill>
            <w14:solidFill>
              <w14:schemeClr w14:val="tx1"/>
            </w14:solidFill>
          </w14:textFill>
        </w:rPr>
        <w:t>公立</w:t>
      </w:r>
      <w:r>
        <w:rPr>
          <w:rFonts w:hint="default" w:ascii="Times New Roman" w:hAnsi="Times New Roman" w:eastAsia="仿宋"/>
          <w:color w:val="000000" w:themeColor="text1"/>
          <w:kern w:val="2"/>
          <w:sz w:val="30"/>
          <w:szCs w:val="30"/>
          <w14:textFill>
            <w14:solidFill>
              <w14:schemeClr w14:val="tx1"/>
            </w14:solidFill>
          </w14:textFill>
        </w:rPr>
        <w:t>医疗机构优先使用中选产品。在确保完成协议采购量的基础上，</w:t>
      </w:r>
      <w:r>
        <w:rPr>
          <w:rFonts w:ascii="Times New Roman" w:hAnsi="Times New Roman" w:eastAsia="仿宋"/>
          <w:color w:val="000000" w:themeColor="text1"/>
          <w:kern w:val="2"/>
          <w:sz w:val="30"/>
          <w:szCs w:val="30"/>
          <w14:textFill>
            <w14:solidFill>
              <w14:schemeClr w14:val="tx1"/>
            </w14:solidFill>
          </w14:textFill>
        </w:rPr>
        <w:t>原则上优先采购使用</w:t>
      </w:r>
      <w:r>
        <w:rPr>
          <w:rFonts w:hint="default" w:ascii="Times New Roman" w:hAnsi="Times New Roman" w:eastAsia="仿宋"/>
          <w:color w:val="000000" w:themeColor="text1"/>
          <w:kern w:val="2"/>
          <w:sz w:val="30"/>
          <w:szCs w:val="30"/>
          <w14:textFill>
            <w14:solidFill>
              <w14:schemeClr w14:val="tx1"/>
            </w14:solidFill>
          </w14:textFill>
        </w:rPr>
        <w:t>中选产品。</w:t>
      </w:r>
      <w:r>
        <w:rPr>
          <w:rFonts w:ascii="Times New Roman" w:hAnsi="Times New Roman" w:eastAsia="仿宋"/>
          <w:color w:val="000000" w:themeColor="text1"/>
          <w:kern w:val="2"/>
          <w:sz w:val="30"/>
          <w:szCs w:val="30"/>
          <w14:textFill>
            <w14:solidFill>
              <w14:schemeClr w14:val="tx1"/>
            </w14:solidFill>
          </w14:textFill>
        </w:rPr>
        <w:t>在采购年度内，医疗机构</w:t>
      </w:r>
      <w:r>
        <w:rPr>
          <w:rFonts w:ascii="Times New Roman" w:hAnsi="Times New Roman" w:eastAsia="仿宋"/>
          <w:color w:val="auto"/>
          <w:kern w:val="2"/>
          <w:sz w:val="30"/>
          <w:szCs w:val="30"/>
        </w:rPr>
        <w:t>增量</w:t>
      </w:r>
      <w:r>
        <w:rPr>
          <w:rFonts w:hint="eastAsia" w:ascii="Times New Roman" w:hAnsi="Times New Roman" w:eastAsia="仿宋"/>
          <w:color w:val="000000" w:themeColor="text1"/>
          <w:kern w:val="2"/>
          <w:sz w:val="30"/>
          <w:szCs w:val="30"/>
          <w:lang w:eastAsia="zh-CN"/>
          <w14:textFill>
            <w14:solidFill>
              <w14:schemeClr w14:val="tx1"/>
            </w14:solidFill>
          </w14:textFill>
        </w:rPr>
        <w:t>部分</w:t>
      </w:r>
      <w:r>
        <w:rPr>
          <w:rFonts w:ascii="Times New Roman" w:hAnsi="Times New Roman" w:eastAsia="仿宋"/>
          <w:color w:val="000000" w:themeColor="text1"/>
          <w:kern w:val="2"/>
          <w:sz w:val="30"/>
          <w:szCs w:val="30"/>
          <w14:textFill>
            <w14:solidFill>
              <w14:schemeClr w14:val="tx1"/>
            </w14:solidFill>
          </w14:textFill>
        </w:rPr>
        <w:t>原则上优先使用中选产品，</w:t>
      </w:r>
      <w:r>
        <w:rPr>
          <w:rFonts w:hint="eastAsia" w:ascii="Times New Roman" w:hAnsi="Times New Roman" w:eastAsia="仿宋"/>
          <w:color w:val="000000" w:themeColor="text1"/>
          <w:kern w:val="2"/>
          <w:sz w:val="30"/>
          <w:szCs w:val="30"/>
          <w:lang w:eastAsia="zh-CN"/>
          <w14:textFill>
            <w14:solidFill>
              <w14:schemeClr w14:val="tx1"/>
            </w14:solidFill>
          </w14:textFill>
        </w:rPr>
        <w:t>且</w:t>
      </w:r>
      <w:r>
        <w:rPr>
          <w:rFonts w:ascii="Times New Roman" w:hAnsi="Times New Roman" w:eastAsia="仿宋"/>
          <w:color w:val="000000" w:themeColor="text1"/>
          <w:kern w:val="2"/>
          <w:sz w:val="30"/>
          <w:szCs w:val="30"/>
          <w14:textFill>
            <w14:solidFill>
              <w14:schemeClr w14:val="tx1"/>
            </w14:solidFill>
          </w14:textFill>
        </w:rPr>
        <w:t>使用比例不低于增量的80%。</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未报量的</w:t>
      </w:r>
      <w:r>
        <w:rPr>
          <w:rFonts w:hint="eastAsia" w:ascii="Times New Roman" w:hAnsi="Times New Roman" w:cs="Times New Roman"/>
          <w:color w:val="000000" w:themeColor="text1"/>
          <w:kern w:val="2"/>
          <w:sz w:val="30"/>
          <w:szCs w:val="30"/>
          <w:lang w:val="en-US" w:bidi="ar-SA"/>
          <w14:textFill>
            <w14:solidFill>
              <w14:schemeClr w14:val="tx1"/>
            </w14:solidFill>
          </w14:textFill>
        </w:rPr>
        <w:t>公立</w:t>
      </w:r>
      <w:r>
        <w:rPr>
          <w:rFonts w:ascii="Times New Roman" w:hAnsi="Times New Roman" w:cs="Times New Roman"/>
          <w:color w:val="000000" w:themeColor="text1"/>
          <w:kern w:val="2"/>
          <w:sz w:val="30"/>
          <w:szCs w:val="30"/>
          <w:lang w:val="en-US" w:bidi="ar-SA"/>
          <w14:textFill>
            <w14:solidFill>
              <w14:schemeClr w14:val="tx1"/>
            </w14:solidFill>
          </w14:textFill>
        </w:rPr>
        <w:t>医疗机构原则上优先采购使用中选</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产</w:t>
      </w:r>
      <w:r>
        <w:rPr>
          <w:rFonts w:ascii="Times New Roman" w:hAnsi="Times New Roman" w:cs="Times New Roman"/>
          <w:color w:val="000000" w:themeColor="text1"/>
          <w:kern w:val="2"/>
          <w:sz w:val="30"/>
          <w:szCs w:val="30"/>
          <w:lang w:val="en-US" w:bidi="ar-SA"/>
          <w14:textFill>
            <w14:solidFill>
              <w14:schemeClr w14:val="tx1"/>
            </w14:solidFill>
          </w14:textFill>
        </w:rPr>
        <w:t>品。</w:t>
      </w:r>
    </w:p>
    <w:p>
      <w:pPr>
        <w:pStyle w:val="2"/>
        <w:spacing w:line="600" w:lineRule="exact"/>
        <w:ind w:firstLine="600" w:firstLineChars="200"/>
        <w:rPr>
          <w:rFonts w:hint="default" w:ascii="Times New Roman" w:hAnsi="Times New Roman" w:eastAsia="仿宋"/>
          <w:color w:val="000000" w:themeColor="text1"/>
          <w:kern w:val="2"/>
          <w:sz w:val="30"/>
          <w:szCs w:val="30"/>
          <w14:textFill>
            <w14:solidFill>
              <w14:schemeClr w14:val="tx1"/>
            </w14:solidFill>
          </w14:textFill>
        </w:rPr>
      </w:pPr>
      <w:r>
        <w:rPr>
          <w:rFonts w:ascii="Times New Roman" w:hAnsi="Times New Roman" w:eastAsia="仿宋"/>
          <w:color w:val="000000" w:themeColor="text1"/>
          <w:kern w:val="2"/>
          <w:sz w:val="30"/>
          <w:szCs w:val="30"/>
          <w14:textFill>
            <w14:solidFill>
              <w14:schemeClr w14:val="tx1"/>
            </w14:solidFill>
          </w14:textFill>
        </w:rPr>
        <w:t>2.</w:t>
      </w:r>
      <w:r>
        <w:rPr>
          <w:rFonts w:hint="default" w:ascii="Times New Roman" w:hAnsi="Times New Roman" w:eastAsia="仿宋"/>
          <w:color w:val="000000" w:themeColor="text1"/>
          <w:kern w:val="2"/>
          <w:sz w:val="30"/>
          <w:szCs w:val="30"/>
          <w14:textFill>
            <w14:solidFill>
              <w14:schemeClr w14:val="tx1"/>
            </w14:solidFill>
          </w14:textFill>
        </w:rPr>
        <w:t>医保定点社会办医疗机构</w:t>
      </w:r>
      <w:r>
        <w:rPr>
          <w:rFonts w:hint="eastAsia" w:ascii="Times New Roman" w:hAnsi="Times New Roman" w:eastAsia="仿宋"/>
          <w:color w:val="000000" w:themeColor="text1"/>
          <w:kern w:val="2"/>
          <w:sz w:val="30"/>
          <w:szCs w:val="30"/>
          <w:lang w:eastAsia="zh-CN"/>
          <w14:textFill>
            <w14:solidFill>
              <w14:schemeClr w14:val="tx1"/>
            </w14:solidFill>
          </w14:textFill>
        </w:rPr>
        <w:t>和</w:t>
      </w:r>
      <w:r>
        <w:rPr>
          <w:rFonts w:hint="default" w:ascii="Times New Roman" w:hAnsi="Times New Roman" w:eastAsia="仿宋"/>
          <w:color w:val="000000" w:themeColor="text1"/>
          <w:kern w:val="2"/>
          <w:sz w:val="30"/>
          <w:szCs w:val="30"/>
          <w14:textFill>
            <w14:solidFill>
              <w14:schemeClr w14:val="tx1"/>
            </w14:solidFill>
          </w14:textFill>
        </w:rPr>
        <w:t>定点药店</w:t>
      </w:r>
      <w:r>
        <w:rPr>
          <w:rFonts w:ascii="Times New Roman" w:hAnsi="Times New Roman" w:eastAsia="仿宋"/>
          <w:color w:val="000000" w:themeColor="text1"/>
          <w:kern w:val="2"/>
          <w:sz w:val="30"/>
          <w:szCs w:val="30"/>
          <w14:textFill>
            <w14:solidFill>
              <w14:schemeClr w14:val="tx1"/>
            </w14:solidFill>
          </w14:textFill>
        </w:rPr>
        <w:t>的</w:t>
      </w:r>
      <w:r>
        <w:rPr>
          <w:rFonts w:hint="default" w:ascii="Times New Roman" w:hAnsi="Times New Roman" w:eastAsia="仿宋"/>
          <w:color w:val="000000" w:themeColor="text1"/>
          <w:kern w:val="2"/>
          <w:sz w:val="30"/>
          <w:szCs w:val="30"/>
          <w14:textFill>
            <w14:solidFill>
              <w14:schemeClr w14:val="tx1"/>
            </w14:solidFill>
          </w14:textFill>
        </w:rPr>
        <w:t>采购量</w:t>
      </w:r>
      <w:r>
        <w:rPr>
          <w:rFonts w:ascii="Times New Roman" w:hAnsi="Times New Roman" w:eastAsia="仿宋"/>
          <w:color w:val="000000" w:themeColor="text1"/>
          <w:kern w:val="2"/>
          <w:sz w:val="30"/>
          <w:szCs w:val="30"/>
          <w14:textFill>
            <w14:solidFill>
              <w14:schemeClr w14:val="tx1"/>
            </w14:solidFill>
          </w14:textFill>
        </w:rPr>
        <w:t>由供需双方按采购协议的约定执行。</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七、采购文件获取方式</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bookmarkStart w:id="7" w:name="_Toc17748581"/>
      <w:bookmarkStart w:id="8" w:name="_Toc30614"/>
      <w:r>
        <w:rPr>
          <w:rFonts w:ascii="Times New Roman" w:hAnsi="Times New Roman" w:cs="Times New Roman"/>
          <w:color w:val="000000" w:themeColor="text1"/>
          <w:kern w:val="2"/>
          <w:sz w:val="30"/>
          <w:szCs w:val="30"/>
          <w:lang w:val="en-US" w:bidi="ar-SA"/>
          <w14:textFill>
            <w14:solidFill>
              <w14:schemeClr w14:val="tx1"/>
            </w14:solidFill>
          </w14:textFill>
        </w:rPr>
        <w:t>可通过广东省第三方药品电子交易平台（www. gdmede.com.cn）（以下简称省平台）下载相关文件。</w:t>
      </w:r>
      <w:bookmarkEnd w:id="5"/>
      <w:bookmarkEnd w:id="6"/>
      <w:bookmarkEnd w:id="7"/>
      <w:bookmarkEnd w:id="8"/>
      <w:bookmarkStart w:id="9" w:name="_Toc57277289"/>
      <w:bookmarkStart w:id="10" w:name="_Toc30815"/>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八、报名方式和截止时间</w:t>
      </w:r>
      <w:bookmarkEnd w:id="9"/>
      <w:bookmarkEnd w:id="10"/>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本次药品</w:t>
      </w:r>
      <w:r>
        <w:rPr>
          <w:rFonts w:ascii="Times New Roman" w:hAnsi="Times New Roman" w:cs="Times New Roman"/>
          <w:color w:val="000000" w:themeColor="text1"/>
          <w:kern w:val="2"/>
          <w:sz w:val="30"/>
          <w:szCs w:val="30"/>
          <w:lang w:val="en-US" w:bidi="ar-SA"/>
          <w14:textFill>
            <w14:solidFill>
              <w14:schemeClr w14:val="tx1"/>
            </w14:solidFill>
          </w14:textFill>
        </w:rPr>
        <w:t>联盟地区集团带量采购，申报企业按报名通知（另行发布）要求，在规定时间内登录省平台（www. gdmede.com.cn）药品交易系统提交报名。</w:t>
      </w:r>
      <w:bookmarkStart w:id="11" w:name="_Toc57277290"/>
      <w:bookmarkStart w:id="12" w:name="_Toc27314"/>
      <w:bookmarkStart w:id="13" w:name="_Toc17748584"/>
      <w:bookmarkStart w:id="14" w:name="_Toc28009"/>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申报企业应根据2021年7月*日省平台发布的《</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》公告要求完成产品全国最低价格信息确认工作，并作为报名时的证明资料。</w:t>
      </w:r>
    </w:p>
    <w:p>
      <w:pPr>
        <w:spacing w:line="600" w:lineRule="exact"/>
        <w:ind w:firstLine="600"/>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九、报价安排和时间</w:t>
      </w:r>
      <w:bookmarkEnd w:id="11"/>
      <w:bookmarkEnd w:id="12"/>
    </w:p>
    <w:p>
      <w:pPr>
        <w:spacing w:line="600" w:lineRule="exact"/>
        <w:ind w:firstLine="600"/>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本次药品</w:t>
      </w:r>
      <w:r>
        <w:rPr>
          <w:rFonts w:ascii="Times New Roman" w:hAnsi="Times New Roman" w:cs="Times New Roman"/>
          <w:color w:val="000000" w:themeColor="text1"/>
          <w:kern w:val="2"/>
          <w:sz w:val="30"/>
          <w:szCs w:val="30"/>
          <w:lang w:val="en-US" w:bidi="ar-SA"/>
          <w14:textFill>
            <w14:solidFill>
              <w14:schemeClr w14:val="tx1"/>
            </w14:solidFill>
          </w14:textFill>
        </w:rPr>
        <w:t>联盟地区集团带量采购采取线上报价方式，申报企业按报价通知（另行发布）要求，在规定时间内登录省平台（www. gdmede.com.cn）药品交易系统进行报价。</w:t>
      </w:r>
      <w:bookmarkStart w:id="15" w:name="_Toc57277292"/>
      <w:bookmarkStart w:id="16" w:name="_Toc25770"/>
    </w:p>
    <w:p>
      <w:pPr>
        <w:spacing w:line="600" w:lineRule="exact"/>
        <w:ind w:firstLine="600"/>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十、信息公开方式</w:t>
      </w:r>
      <w:bookmarkEnd w:id="15"/>
      <w:bookmarkEnd w:id="16"/>
    </w:p>
    <w:p>
      <w:pPr>
        <w:spacing w:line="600" w:lineRule="exact"/>
        <w:ind w:firstLine="600"/>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通过省平台（www. gdmede.com.cn）发布采购相关通知，敬请留意。</w:t>
      </w:r>
      <w:bookmarkStart w:id="17" w:name="_Toc24445"/>
      <w:bookmarkEnd w:id="17"/>
      <w:bookmarkStart w:id="18" w:name="_Toc17748583"/>
      <w:bookmarkEnd w:id="18"/>
      <w:bookmarkStart w:id="19" w:name="_Toc57277293"/>
      <w:bookmarkStart w:id="20" w:name="_Toc12085"/>
    </w:p>
    <w:p>
      <w:pPr>
        <w:spacing w:line="600" w:lineRule="exact"/>
        <w:ind w:firstLine="60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十一、联系方式</w:t>
      </w:r>
      <w:bookmarkEnd w:id="13"/>
      <w:bookmarkEnd w:id="14"/>
      <w:bookmarkEnd w:id="19"/>
      <w:bookmarkEnd w:id="20"/>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名称：广东省药品交易中心</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地址：广州市越秀区环市东路华侨新村光明路28号3A楼</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 xml:space="preserve">邮编：510095 </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电话：020-38036183、020-38036197</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传真：020-38830256</w:t>
      </w:r>
      <w:bookmarkStart w:id="21" w:name="_Toc17748585"/>
      <w:bookmarkEnd w:id="21"/>
      <w:bookmarkStart w:id="22" w:name="_Toc15032"/>
      <w:bookmarkEnd w:id="22"/>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QQ群：1群319678985，2群514874300</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在线咨询：广东省药品交易中心官网在线客服。</w:t>
      </w:r>
      <w:bookmarkStart w:id="23" w:name="_Toc29485"/>
      <w:bookmarkStart w:id="24" w:name="_Toc57277294"/>
    </w:p>
    <w:p>
      <w:pPr>
        <w:spacing w:line="600" w:lineRule="exact"/>
        <w:ind w:firstLine="60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十二、其他</w:t>
      </w:r>
      <w:bookmarkEnd w:id="23"/>
      <w:bookmarkEnd w:id="24"/>
    </w:p>
    <w:p>
      <w:pPr>
        <w:spacing w:line="600" w:lineRule="exact"/>
        <w:ind w:firstLine="600"/>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本次药品</w:t>
      </w:r>
      <w:r>
        <w:rPr>
          <w:rFonts w:ascii="Times New Roman" w:hAnsi="Times New Roman" w:cs="Times New Roman"/>
          <w:kern w:val="2"/>
          <w:sz w:val="30"/>
          <w:szCs w:val="30"/>
          <w:lang w:val="en-US" w:bidi="ar-SA"/>
        </w:rPr>
        <w:t>联盟地区集团带量采购结果执行时间等事项由联盟地区各省自行公布。</w:t>
      </w:r>
    </w:p>
    <w:p>
      <w:pPr>
        <w:autoSpaceDE/>
        <w:autoSpaceDN/>
        <w:spacing w:line="600" w:lineRule="exact"/>
        <w:ind w:firstLine="600" w:firstLineChars="200"/>
        <w:jc w:val="both"/>
        <w:rPr>
          <w:rFonts w:ascii="Times New Roman" w:hAnsi="Times New Roman" w:cs="Times New Roman"/>
          <w:kern w:val="2"/>
          <w:sz w:val="30"/>
          <w:szCs w:val="30"/>
          <w:lang w:val="en-US" w:bidi="ar-SA"/>
        </w:rPr>
        <w:sectPr>
          <w:headerReference r:id="rId3" w:type="default"/>
          <w:footerReference r:id="rId4" w:type="default"/>
          <w:pgSz w:w="11910" w:h="16840"/>
          <w:pgMar w:top="1580" w:right="1040" w:bottom="1220" w:left="1300" w:header="1145" w:footer="1035" w:gutter="0"/>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kern w:val="44"/>
          <w:sz w:val="36"/>
          <w:szCs w:val="36"/>
          <w:lang w:val="en-US" w:bidi="ar-SA"/>
        </w:rPr>
      </w:pPr>
      <w:bookmarkStart w:id="25" w:name="_bookmark11"/>
      <w:bookmarkEnd w:id="25"/>
      <w:r>
        <w:rPr>
          <w:rFonts w:ascii="Times New Roman" w:hAnsi="Times New Roman" w:eastAsia="华文中宋" w:cs="Times New Roman"/>
          <w:bCs/>
          <w:kern w:val="44"/>
          <w:sz w:val="36"/>
          <w:szCs w:val="36"/>
          <w:lang w:val="en-US" w:bidi="ar-SA"/>
        </w:rPr>
        <w:t>第二部分 申报企业须知</w:t>
      </w:r>
    </w:p>
    <w:p>
      <w:pPr>
        <w:spacing w:line="600" w:lineRule="exact"/>
        <w:ind w:firstLine="600"/>
        <w:rPr>
          <w:rFonts w:ascii="Times New Roman" w:hAnsi="Times New Roman" w:eastAsia="黑体" w:cs="Times New Roman"/>
          <w:kern w:val="2"/>
          <w:sz w:val="30"/>
          <w:szCs w:val="30"/>
          <w:lang w:val="en-US" w:bidi="ar-SA"/>
        </w:rPr>
      </w:pPr>
      <w:bookmarkStart w:id="26" w:name="_bookmark12"/>
      <w:bookmarkEnd w:id="26"/>
      <w:bookmarkStart w:id="27" w:name="一、集中采购当事人"/>
      <w:bookmarkEnd w:id="27"/>
      <w:r>
        <w:rPr>
          <w:rFonts w:ascii="Times New Roman" w:hAnsi="Times New Roman" w:eastAsia="黑体" w:cs="Times New Roman"/>
          <w:kern w:val="2"/>
          <w:sz w:val="30"/>
          <w:szCs w:val="30"/>
          <w:lang w:val="en-US" w:bidi="ar-SA"/>
        </w:rPr>
        <w:t>一、集团带量采购当事人</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28" w:name="1.申报企业"/>
      <w:bookmarkEnd w:id="28"/>
      <w:r>
        <w:rPr>
          <w:rFonts w:ascii="Times New Roman" w:hAnsi="Times New Roman" w:cs="Times New Roman"/>
          <w:b/>
          <w:bCs/>
          <w:kern w:val="2"/>
          <w:sz w:val="30"/>
          <w:szCs w:val="30"/>
          <w:lang w:val="en-US" w:bidi="ar-SA"/>
        </w:rPr>
        <w:t>（一）申报企业</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1.申报企业参加药品集团带量采购活动应当具备以下条件：</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（1）具有履行协议必须具备的能力；</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（2）参加本次药品集团带量采购活动前两年内，在药品生产活动中无严重违法记录；</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（3）在</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国家医疗保障局关于建立医药价格和招采信用评价制度 的指导意见</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（医保发〔2020〕34 号）、</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国家医保局医药价格和招标采购指导中心关于印发医药价格和招采信用评价的操作规范（2020 版）的通知</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（医保价采中心函〔2020〕24 号）和</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国家医保局医药价格和招标采购指导中心关于印发医药价格和招采信用评级的裁量基准（2020 版）的通知</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（医保价采中心函〔2020〕25 号）印发后，申报企业在药品生产经营活动中，无</w:t>
      </w:r>
      <w:r>
        <w:rPr>
          <w:rFonts w:hint="eastAsia" w:ascii="Times New Roman" w:hAnsi="Times New Roman" w:cs="Times New Roman"/>
          <w:kern w:val="2"/>
          <w:sz w:val="30"/>
          <w:szCs w:val="30"/>
          <w:lang w:val="en-US" w:eastAsia="zh-CN" w:bidi="ar-SA"/>
        </w:rPr>
        <w:t>上述</w:t>
      </w:r>
      <w:r>
        <w:rPr>
          <w:rFonts w:hint="eastAsia" w:ascii="Times New Roman" w:hAnsi="Times New Roman" w:cs="Times New Roman"/>
          <w:kern w:val="2"/>
          <w:sz w:val="30"/>
          <w:szCs w:val="30"/>
          <w:lang w:val="en-US" w:bidi="ar-SA"/>
        </w:rPr>
        <w:t>文件所指的严重、特别严重的失信行为；</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）对药品的质量负责，一旦中选，作为供应保障的第一责任人，及时、足量按要求组织生产，并向配送企业发送药品，满足医疗机构临床用药需求。</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2.申报企业应按照采购文件的要求提交申报材料，申报材料应对采购文件提出的要求和条件做出响应。</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29" w:name="2.其他要求"/>
      <w:bookmarkEnd w:id="29"/>
      <w:r>
        <w:rPr>
          <w:rFonts w:ascii="Times New Roman" w:hAnsi="Times New Roman" w:cs="Times New Roman"/>
          <w:b/>
          <w:bCs/>
          <w:kern w:val="2"/>
          <w:sz w:val="30"/>
          <w:szCs w:val="30"/>
          <w:lang w:val="en-US" w:bidi="ar-SA"/>
        </w:rPr>
        <w:t>（二）其他要求</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1.同品种申报企业中，企业负责人为同一人或存在直接控股、管理关系的不同企业，不得同时参与该品种的申报。</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w:t>
      </w:r>
      <w:r>
        <w:rPr>
          <w:rFonts w:hint="eastAsia" w:ascii="Times New Roman" w:hAnsi="Times New Roman" w:cs="Times New Roman"/>
          <w:kern w:val="2"/>
          <w:sz w:val="30"/>
          <w:szCs w:val="30"/>
          <w:lang w:val="en-US" w:bidi="ar-SA"/>
        </w:rPr>
        <w:t>关于是否过评品种的认定时间是以本采购文件发布</w:t>
      </w:r>
      <w:r>
        <w:rPr>
          <w:rFonts w:hint="eastAsia" w:ascii="Times New Roman" w:hAnsi="Times New Roman" w:cs="Times New Roman"/>
          <w:kern w:val="2"/>
          <w:sz w:val="30"/>
          <w:szCs w:val="30"/>
          <w:lang w:val="en-US" w:eastAsia="zh-CN" w:bidi="ar-SA"/>
        </w:rPr>
        <w:t>当日</w:t>
      </w:r>
      <w:r>
        <w:rPr>
          <w:rFonts w:hint="eastAsia" w:ascii="Times New Roman" w:hAnsi="Times New Roman" w:cs="Times New Roman"/>
          <w:kern w:val="2"/>
          <w:sz w:val="30"/>
          <w:szCs w:val="30"/>
          <w:lang w:val="en-US" w:bidi="ar-SA"/>
        </w:rPr>
        <w:t>为准。若本采购文件发布</w:t>
      </w:r>
      <w:r>
        <w:rPr>
          <w:rFonts w:hint="eastAsia" w:ascii="Times New Roman" w:hAnsi="Times New Roman" w:cs="Times New Roman"/>
          <w:kern w:val="2"/>
          <w:sz w:val="30"/>
          <w:szCs w:val="30"/>
          <w:lang w:val="en-US" w:eastAsia="zh-CN" w:bidi="ar-SA"/>
        </w:rPr>
        <w:t>当日</w:t>
      </w:r>
      <w:r>
        <w:rPr>
          <w:rFonts w:hint="eastAsia" w:ascii="Times New Roman" w:hAnsi="Times New Roman" w:cs="Times New Roman"/>
          <w:kern w:val="2"/>
          <w:sz w:val="30"/>
          <w:szCs w:val="30"/>
          <w:lang w:val="en-US" w:bidi="ar-SA"/>
        </w:rPr>
        <w:t>前属于非过评品种但发布</w:t>
      </w:r>
      <w:r>
        <w:rPr>
          <w:rFonts w:hint="eastAsia" w:ascii="Times New Roman" w:hAnsi="Times New Roman" w:cs="Times New Roman"/>
          <w:kern w:val="2"/>
          <w:sz w:val="30"/>
          <w:szCs w:val="30"/>
          <w:lang w:val="en-US" w:eastAsia="zh-CN" w:bidi="ar-SA"/>
        </w:rPr>
        <w:t>当日之</w:t>
      </w:r>
      <w:r>
        <w:rPr>
          <w:rFonts w:hint="eastAsia" w:ascii="Times New Roman" w:hAnsi="Times New Roman" w:cs="Times New Roman"/>
          <w:kern w:val="2"/>
          <w:sz w:val="30"/>
          <w:szCs w:val="30"/>
          <w:lang w:val="en-US" w:bidi="ar-SA"/>
        </w:rPr>
        <w:t>后</w:t>
      </w:r>
      <w:r>
        <w:rPr>
          <w:rFonts w:ascii="Times New Roman" w:hAnsi="Times New Roman" w:cs="Times New Roman"/>
          <w:kern w:val="2"/>
          <w:sz w:val="30"/>
          <w:szCs w:val="30"/>
          <w:lang w:val="en-US" w:bidi="ar-SA"/>
        </w:rPr>
        <w:t>通过一致性评价仿制药</w:t>
      </w:r>
      <w:r>
        <w:rPr>
          <w:rFonts w:hint="eastAsia" w:ascii="Times New Roman" w:hAnsi="Times New Roman" w:cs="Times New Roman"/>
          <w:kern w:val="2"/>
          <w:sz w:val="30"/>
          <w:szCs w:val="30"/>
          <w:lang w:val="en-US" w:bidi="ar-SA"/>
        </w:rPr>
        <w:t>的，按本采购文件所列为准；若本采购文件发布</w:t>
      </w:r>
      <w:r>
        <w:rPr>
          <w:rFonts w:hint="eastAsia" w:ascii="Times New Roman" w:hAnsi="Times New Roman" w:cs="Times New Roman"/>
          <w:kern w:val="2"/>
          <w:sz w:val="30"/>
          <w:szCs w:val="30"/>
          <w:lang w:val="en-US" w:eastAsia="zh-CN" w:bidi="ar-SA"/>
        </w:rPr>
        <w:t>当日之</w:t>
      </w:r>
      <w:r>
        <w:rPr>
          <w:rFonts w:hint="eastAsia" w:ascii="Times New Roman" w:hAnsi="Times New Roman" w:cs="Times New Roman"/>
          <w:kern w:val="2"/>
          <w:sz w:val="30"/>
          <w:szCs w:val="30"/>
          <w:lang w:val="en-US" w:bidi="ar-SA"/>
        </w:rPr>
        <w:t>后首次获得</w:t>
      </w:r>
      <w:r>
        <w:rPr>
          <w:rFonts w:ascii="Times New Roman" w:hAnsi="Times New Roman" w:cs="Times New Roman"/>
          <w:kern w:val="2"/>
          <w:sz w:val="30"/>
          <w:szCs w:val="30"/>
          <w:lang w:val="en-US" w:bidi="ar-SA"/>
        </w:rPr>
        <w:t>通过一致性评价仿制药</w:t>
      </w:r>
      <w:r>
        <w:rPr>
          <w:rFonts w:hint="eastAsia" w:ascii="Times New Roman" w:hAnsi="Times New Roman" w:cs="Times New Roman"/>
          <w:kern w:val="2"/>
          <w:sz w:val="30"/>
          <w:szCs w:val="30"/>
          <w:lang w:val="en-US" w:bidi="ar-SA"/>
        </w:rPr>
        <w:t>注册批件的，以首次注册批件获批的时间为准。</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3.</w:t>
      </w:r>
      <w:r>
        <w:rPr>
          <w:rFonts w:ascii="Times New Roman" w:hAnsi="Times New Roman" w:cs="Times New Roman"/>
          <w:kern w:val="2"/>
          <w:sz w:val="30"/>
          <w:szCs w:val="30"/>
          <w:lang w:val="en-US" w:bidi="ar-SA"/>
        </w:rPr>
        <w:t>申报品种在本次药品集团带量采购活动前两年内不存在省级（含） 以上药品监督管理部门质量检验不合格情况（其中通过一致性评价的仿制药的不合格情况指通过药品监督管理</w:t>
      </w:r>
      <w:r>
        <w:rPr>
          <w:rFonts w:hint="eastAsia" w:ascii="Times New Roman" w:hAnsi="Times New Roman" w:cs="Times New Roman"/>
          <w:kern w:val="2"/>
          <w:sz w:val="30"/>
          <w:szCs w:val="30"/>
          <w:lang w:val="en-US" w:bidi="ar-SA"/>
        </w:rPr>
        <w:t>部门</w:t>
      </w:r>
      <w:r>
        <w:rPr>
          <w:rFonts w:ascii="Times New Roman" w:hAnsi="Times New Roman" w:cs="Times New Roman"/>
          <w:kern w:val="2"/>
          <w:sz w:val="30"/>
          <w:szCs w:val="30"/>
          <w:lang w:val="en-US" w:bidi="ar-SA"/>
        </w:rPr>
        <w:t>仿制药质量和疗效一致性评价上市后的不合格情况）。</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本次药品集团带量采购供应的药品，应是临床常用包装。</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5</w:t>
      </w:r>
      <w:r>
        <w:rPr>
          <w:rFonts w:ascii="Times New Roman" w:hAnsi="Times New Roman" w:cs="Times New Roman"/>
          <w:kern w:val="2"/>
          <w:sz w:val="30"/>
          <w:szCs w:val="30"/>
          <w:lang w:val="en-US" w:bidi="ar-SA"/>
        </w:rPr>
        <w:t>.申报企业中选后，须按联盟地区主管部门要求签订购销协议。</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6</w:t>
      </w:r>
      <w:r>
        <w:rPr>
          <w:rFonts w:ascii="Times New Roman" w:hAnsi="Times New Roman" w:cs="Times New Roman"/>
          <w:kern w:val="2"/>
          <w:sz w:val="30"/>
          <w:szCs w:val="30"/>
          <w:lang w:val="en-US" w:bidi="ar-SA"/>
        </w:rPr>
        <w:t>.中选药品在履行协议中如遇国家政策调整或不可抗力，致使直接影响协议履行的，由签订购销协议中的各方协商解决。</w:t>
      </w:r>
    </w:p>
    <w:p>
      <w:pPr>
        <w:spacing w:line="600" w:lineRule="exact"/>
        <w:ind w:firstLine="60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二、申报材料</w:t>
      </w:r>
      <w:bookmarkStart w:id="30" w:name="3.编制要求"/>
      <w:bookmarkEnd w:id="30"/>
      <w:bookmarkStart w:id="31" w:name="二、申报材料编制"/>
      <w:bookmarkEnd w:id="31"/>
      <w:bookmarkStart w:id="32" w:name="_bookmark13"/>
      <w:bookmarkEnd w:id="32"/>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（一）材料要求</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申报企业应仔细阅读采购文件中的所有内容，按采购文件的要求提供申报材料，并保证所提供的全部材料真实有效。申报材料中涉及到的证书、证明材料等，必须在产品报名当天仍在有效期内。若因申报企业没有按照采购文件的要求提交完整材料，或因申报材料没有对采购文件做出响应、申报材料内容不实等因素影响中选结果的，由申报企业负责。</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33" w:name="4.申报语言、计量单位和药品名称、药品规格表示"/>
      <w:bookmarkEnd w:id="33"/>
      <w:r>
        <w:rPr>
          <w:rFonts w:ascii="Times New Roman" w:hAnsi="Times New Roman" w:cs="Times New Roman"/>
          <w:b/>
          <w:bCs/>
          <w:kern w:val="2"/>
          <w:sz w:val="30"/>
          <w:szCs w:val="30"/>
          <w:lang w:val="en-US" w:bidi="ar-SA"/>
        </w:rPr>
        <w:t>（二）申报语言、计量单位和药品名称、药品规格表示</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1.申报企业与省药交中心就申报递交的材料、交换的文件和来往信件，一律以中文书写。</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2.除申报材料中对技术规格另有规定外，应使用中华人民共和国法定计量单位和有关部门规定的药品名称、药品规格表示方法。</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34" w:name="5.纸质申报材料的构成和装订顺序"/>
      <w:bookmarkEnd w:id="34"/>
      <w:r>
        <w:rPr>
          <w:rFonts w:ascii="Times New Roman" w:hAnsi="Times New Roman" w:cs="Times New Roman"/>
          <w:b/>
          <w:bCs/>
          <w:kern w:val="2"/>
          <w:sz w:val="30"/>
          <w:szCs w:val="30"/>
          <w:lang w:val="en-US" w:bidi="ar-SA"/>
        </w:rPr>
        <w:t>（三）申报材料的构成</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申报材料须在规定的报名时间内通过省平台药品交易系统网上提交，构成如下（每页均需加盖企业公章）：</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1.医药企业价格和营销行为信用承诺书（附件1）；</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2.企业及产品资质材料（以企业按照省平台报名资质要求在药品交易系统维护提交的有效材料为准）；</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3.药品符合“申报品种资格”的相关证明材料；</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4.</w:t>
      </w:r>
      <w:r>
        <w:rPr>
          <w:rFonts w:ascii="Times New Roman" w:hAnsi="Times New Roman" w:cs="Times New Roman"/>
          <w:spacing w:val="-1"/>
          <w:sz w:val="30"/>
        </w:rPr>
        <w:t>原料药</w:t>
      </w:r>
      <w:r>
        <w:rPr>
          <w:rFonts w:hint="eastAsia" w:ascii="Times New Roman" w:hAnsi="Times New Roman" w:cs="Times New Roman"/>
          <w:spacing w:val="-1"/>
          <w:sz w:val="30"/>
          <w:lang w:val="en-US"/>
        </w:rPr>
        <w:t>来源</w:t>
      </w:r>
      <w:r>
        <w:rPr>
          <w:rFonts w:ascii="Times New Roman" w:hAnsi="Times New Roman" w:cs="Times New Roman"/>
          <w:spacing w:val="-1"/>
          <w:sz w:val="30"/>
        </w:rPr>
        <w:t>说明材料</w:t>
      </w:r>
      <w:r>
        <w:rPr>
          <w:rFonts w:hint="eastAsia" w:ascii="Times New Roman" w:hAnsi="Times New Roman" w:cs="Times New Roman"/>
          <w:sz w:val="30"/>
          <w:lang w:val="en-US"/>
        </w:rPr>
        <w:t>。</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5.根据2021年*月*日省平台发布的《......》要求，已确认产品全国最低价格信息的相关证明材料。</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（四）申报材料</w:t>
      </w:r>
      <w:r>
        <w:rPr>
          <w:rFonts w:hint="eastAsia" w:ascii="Times New Roman" w:hAnsi="Times New Roman" w:cs="Times New Roman"/>
          <w:b/>
          <w:bCs/>
          <w:kern w:val="2"/>
          <w:sz w:val="30"/>
          <w:szCs w:val="30"/>
          <w:lang w:val="en-US" w:bidi="ar-SA"/>
        </w:rPr>
        <w:t>的</w:t>
      </w:r>
      <w:r>
        <w:rPr>
          <w:rFonts w:ascii="Times New Roman" w:hAnsi="Times New Roman" w:cs="Times New Roman"/>
          <w:b/>
          <w:bCs/>
          <w:kern w:val="2"/>
          <w:sz w:val="30"/>
          <w:szCs w:val="30"/>
          <w:lang w:val="en-US" w:bidi="ar-SA"/>
        </w:rPr>
        <w:t>提交</w:t>
      </w:r>
    </w:p>
    <w:p>
      <w:pPr>
        <w:autoSpaceDE/>
        <w:autoSpaceDN/>
        <w:spacing w:line="56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1.</w:t>
      </w:r>
      <w:r>
        <w:rPr>
          <w:rFonts w:ascii="Times New Roman" w:hAnsi="Times New Roman" w:cs="Times New Roman"/>
          <w:spacing w:val="-1"/>
          <w:sz w:val="30"/>
          <w:lang w:val="en-US" w:bidi="ar-SA"/>
        </w:rPr>
        <w:t>申报企业应在规定时间内通过省平台药品交易系统提交申报材料。</w:t>
      </w:r>
    </w:p>
    <w:p>
      <w:pPr>
        <w:autoSpaceDE/>
        <w:autoSpaceDN/>
        <w:spacing w:line="560" w:lineRule="exact"/>
        <w:ind w:firstLine="600" w:firstLineChars="200"/>
        <w:jc w:val="both"/>
        <w:rPr>
          <w:rFonts w:ascii="Times New Roman" w:hAnsi="Times New Roman" w:cs="Times New Roman"/>
          <w:spacing w:val="-1"/>
          <w:sz w:val="30"/>
          <w:lang w:val="en-US" w:bidi="ar-SA"/>
        </w:rPr>
      </w:pPr>
      <w:r>
        <w:rPr>
          <w:rFonts w:ascii="Times New Roman" w:hAnsi="Times New Roman" w:eastAsia="仿宋_GB2312" w:cs="Times New Roman"/>
          <w:kern w:val="2"/>
          <w:sz w:val="30"/>
          <w:szCs w:val="30"/>
          <w:lang w:val="en-US" w:bidi="ar-SA"/>
        </w:rPr>
        <w:t>2.</w:t>
      </w:r>
      <w:r>
        <w:rPr>
          <w:rFonts w:ascii="Times New Roman" w:hAnsi="Times New Roman" w:cs="Times New Roman"/>
          <w:spacing w:val="-1"/>
          <w:sz w:val="30"/>
          <w:lang w:val="en-US" w:bidi="ar-SA"/>
        </w:rPr>
        <w:t>省药交中心拒绝接收在截止时间后提交的任何申报及申报材料。</w:t>
      </w:r>
    </w:p>
    <w:p>
      <w:pPr>
        <w:pStyle w:val="18"/>
        <w:tabs>
          <w:tab w:val="left" w:pos="1237"/>
        </w:tabs>
        <w:spacing w:line="600" w:lineRule="exact"/>
        <w:ind w:left="0" w:right="408"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3.</w:t>
      </w:r>
      <w:r>
        <w:rPr>
          <w:rFonts w:ascii="Times New Roman" w:hAnsi="Times New Roman" w:cs="Times New Roman"/>
          <w:spacing w:val="-1"/>
          <w:sz w:val="30"/>
          <w:lang w:val="en-US" w:bidi="ar-SA"/>
        </w:rPr>
        <w:t>申报截止时间后，申报企业不得对其申报材料做任何修改。</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（五）申报材料的式样和签署</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1.申报材料须打印或用不褪色书写工具书写，并由申报企业加盖公章后扫描为PDF文件，并按要求在系统提交。</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2.申报企业除对笔误等作勘误外，不得行间插字、涂改或增删， 如有修改错漏处，必须由企业法定代表人或企业被授权人签字或盖章。</w:t>
      </w:r>
    </w:p>
    <w:p>
      <w:pPr>
        <w:autoSpaceDE/>
        <w:autoSpaceDN/>
        <w:spacing w:line="560" w:lineRule="exact"/>
        <w:ind w:firstLine="600" w:firstLineChars="200"/>
        <w:jc w:val="both"/>
        <w:rPr>
          <w:rFonts w:ascii="黑体" w:hAnsi="黑体" w:eastAsia="黑体" w:cs="黑体"/>
          <w:kern w:val="2"/>
          <w:sz w:val="30"/>
          <w:szCs w:val="30"/>
          <w:lang w:val="en-US" w:bidi="ar-SA"/>
        </w:rPr>
      </w:pPr>
      <w:r>
        <w:rPr>
          <w:rFonts w:hint="eastAsia" w:ascii="黑体" w:hAnsi="黑体" w:eastAsia="黑体" w:cs="黑体"/>
          <w:kern w:val="2"/>
          <w:sz w:val="30"/>
          <w:szCs w:val="30"/>
          <w:lang w:val="en-US" w:bidi="ar-SA"/>
        </w:rPr>
        <w:t>三、企业梯级报价</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（一）</w:t>
      </w:r>
      <w:r>
        <w:rPr>
          <w:rFonts w:ascii="Times New Roman" w:hAnsi="Times New Roman" w:cs="Times New Roman"/>
          <w:kern w:val="2"/>
          <w:sz w:val="30"/>
          <w:szCs w:val="30"/>
          <w:lang w:val="en-US" w:bidi="ar-SA"/>
        </w:rPr>
        <w:t>申报价货币单位为人民币（元），四舍五入保留小数点后</w:t>
      </w: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位；以最小计量单位（指单片/单粒/单袋/单支等）为计价单位。</w:t>
      </w:r>
    </w:p>
    <w:p>
      <w:pPr>
        <w:autoSpaceDE/>
        <w:autoSpaceDN/>
        <w:spacing w:line="600" w:lineRule="exact"/>
        <w:ind w:firstLine="600" w:firstLineChars="200"/>
        <w:jc w:val="both"/>
        <w:rPr>
          <w:rFonts w:hint="eastAsia" w:eastAsia="方正仿宋简体"/>
          <w:lang w:val="en-US" w:eastAsia="zh-CN"/>
        </w:rPr>
      </w:pPr>
      <w:r>
        <w:rPr>
          <w:rFonts w:hint="eastAsia" w:ascii="Times New Roman" w:hAnsi="Times New Roman" w:cs="Times New Roman"/>
          <w:kern w:val="2"/>
          <w:sz w:val="30"/>
          <w:szCs w:val="30"/>
          <w:lang w:val="en-US" w:bidi="ar-SA"/>
        </w:rPr>
        <w:t>（二）</w:t>
      </w:r>
      <w:r>
        <w:rPr>
          <w:rFonts w:ascii="Times New Roman" w:hAnsi="Times New Roman" w:cs="Times New Roman"/>
          <w:kern w:val="2"/>
          <w:sz w:val="30"/>
          <w:szCs w:val="30"/>
          <w:lang w:val="en-US" w:bidi="ar-SA"/>
        </w:rPr>
        <w:t>申报价为申报企业的实际供应价，应包括税费、配送费等在内的所有费用。</w:t>
      </w:r>
    </w:p>
    <w:p>
      <w:pPr>
        <w:autoSpaceDE/>
        <w:autoSpaceDN/>
        <w:spacing w:line="600" w:lineRule="exact"/>
        <w:ind w:firstLine="600" w:firstLineChars="20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eastAsia="zh-CN" w:bidi="ar-SA"/>
        </w:rPr>
        <w:t>（三）采购清单的产品按</w:t>
      </w:r>
      <w:r>
        <w:rPr>
          <w:rFonts w:hint="eastAsia" w:ascii="Times New Roman" w:hAnsi="Times New Roman" w:cs="Times New Roman"/>
          <w:color w:val="auto"/>
          <w:kern w:val="2"/>
          <w:sz w:val="30"/>
          <w:szCs w:val="30"/>
          <w:lang w:val="en-US" w:bidi="ar-SA"/>
        </w:rPr>
        <w:t>过评类产品和非过评类产品</w:t>
      </w:r>
      <w:r>
        <w:rPr>
          <w:rFonts w:hint="eastAsia" w:ascii="Times New Roman" w:hAnsi="Times New Roman" w:cs="Times New Roman"/>
          <w:color w:val="auto"/>
          <w:kern w:val="2"/>
          <w:sz w:val="30"/>
          <w:szCs w:val="30"/>
          <w:lang w:val="en-US" w:eastAsia="zh-CN" w:bidi="ar-SA"/>
        </w:rPr>
        <w:t>区分</w:t>
      </w:r>
      <w:r>
        <w:rPr>
          <w:rFonts w:hint="eastAsia" w:ascii="Times New Roman" w:hAnsi="Times New Roman" w:cs="Times New Roman"/>
          <w:color w:val="auto"/>
          <w:kern w:val="2"/>
          <w:sz w:val="30"/>
          <w:szCs w:val="30"/>
          <w:lang w:val="en-US" w:bidi="ar-SA"/>
        </w:rPr>
        <w:t>报价。</w:t>
      </w:r>
      <w:r>
        <w:rPr>
          <w:rFonts w:hint="eastAsia" w:ascii="Times New Roman" w:hAnsi="Times New Roman" w:cs="Times New Roman"/>
          <w:color w:val="auto"/>
          <w:kern w:val="2"/>
          <w:sz w:val="30"/>
          <w:szCs w:val="30"/>
          <w:lang w:val="en-US" w:eastAsia="zh-CN" w:bidi="ar-SA"/>
        </w:rPr>
        <w:t>若</w:t>
      </w:r>
      <w:r>
        <w:rPr>
          <w:rFonts w:hint="eastAsia" w:ascii="Times New Roman" w:hAnsi="Times New Roman" w:cs="Times New Roman"/>
          <w:color w:val="auto"/>
          <w:kern w:val="2"/>
          <w:sz w:val="30"/>
          <w:szCs w:val="30"/>
          <w:lang w:val="en-US" w:bidi="ar-SA"/>
        </w:rPr>
        <w:t>同企业同品种不同剂型规格存在差比关系的，须选择一个品规作为价格申报品规，其他品规按申报品规的价格参照差比价计算后，参与对应类别及采购单进行竞价。</w:t>
      </w:r>
      <w:r>
        <w:rPr>
          <w:rFonts w:hint="eastAsia" w:ascii="Times New Roman" w:hAnsi="Times New Roman" w:cs="Times New Roman"/>
          <w:color w:val="auto"/>
          <w:kern w:val="2"/>
          <w:sz w:val="30"/>
          <w:szCs w:val="30"/>
          <w:lang w:val="en-US" w:eastAsia="zh-CN" w:bidi="ar-SA"/>
        </w:rPr>
        <w:t>若</w:t>
      </w:r>
      <w:r>
        <w:rPr>
          <w:rFonts w:hint="eastAsia" w:ascii="Times New Roman" w:hAnsi="Times New Roman" w:cs="Times New Roman"/>
          <w:color w:val="auto"/>
          <w:kern w:val="2"/>
          <w:sz w:val="30"/>
          <w:szCs w:val="30"/>
          <w:lang w:val="en-US" w:bidi="ar-SA"/>
        </w:rPr>
        <w:t>同企业同品种不同剂型</w:t>
      </w:r>
      <w:r>
        <w:rPr>
          <w:rFonts w:hint="eastAsia" w:ascii="Times New Roman" w:hAnsi="Times New Roman" w:cs="Times New Roman"/>
          <w:color w:val="auto"/>
          <w:kern w:val="2"/>
          <w:sz w:val="30"/>
          <w:szCs w:val="30"/>
          <w:lang w:val="en-US" w:eastAsia="zh-CN" w:bidi="ar-SA"/>
        </w:rPr>
        <w:t>不</w:t>
      </w:r>
      <w:r>
        <w:rPr>
          <w:rFonts w:hint="eastAsia" w:ascii="Times New Roman" w:hAnsi="Times New Roman" w:cs="Times New Roman"/>
          <w:color w:val="auto"/>
          <w:kern w:val="2"/>
          <w:sz w:val="30"/>
          <w:szCs w:val="30"/>
          <w:lang w:val="en-US" w:bidi="ar-SA"/>
        </w:rPr>
        <w:t>存在差比关系的，</w:t>
      </w:r>
      <w:r>
        <w:rPr>
          <w:rFonts w:hint="eastAsia" w:ascii="Times New Roman" w:hAnsi="Times New Roman" w:cs="Times New Roman"/>
          <w:color w:val="auto"/>
          <w:kern w:val="2"/>
          <w:sz w:val="30"/>
          <w:szCs w:val="30"/>
          <w:lang w:val="en-US" w:eastAsia="zh-CN" w:bidi="ar-SA"/>
        </w:rPr>
        <w:t>无差比关系的每一个剂型</w:t>
      </w:r>
      <w:r>
        <w:rPr>
          <w:rFonts w:hint="eastAsia" w:ascii="Times New Roman" w:hAnsi="Times New Roman" w:cs="Times New Roman"/>
          <w:color w:val="auto"/>
          <w:kern w:val="2"/>
          <w:sz w:val="30"/>
          <w:szCs w:val="30"/>
          <w:lang w:val="en-US" w:bidi="ar-SA"/>
        </w:rPr>
        <w:t>须</w:t>
      </w:r>
      <w:r>
        <w:rPr>
          <w:rFonts w:hint="eastAsia" w:ascii="Times New Roman" w:hAnsi="Times New Roman" w:cs="Times New Roman"/>
          <w:color w:val="auto"/>
          <w:kern w:val="2"/>
          <w:sz w:val="30"/>
          <w:szCs w:val="30"/>
          <w:lang w:val="en-US" w:eastAsia="zh-CN" w:bidi="ar-SA"/>
        </w:rPr>
        <w:t>分别</w:t>
      </w:r>
      <w:r>
        <w:rPr>
          <w:rFonts w:hint="eastAsia" w:ascii="Times New Roman" w:hAnsi="Times New Roman" w:cs="Times New Roman"/>
          <w:color w:val="auto"/>
          <w:kern w:val="2"/>
          <w:sz w:val="30"/>
          <w:szCs w:val="30"/>
          <w:lang w:val="en-US" w:bidi="ar-SA"/>
        </w:rPr>
        <w:t>选择一个品规作为价格申报品规。</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eastAsia="zh-CN" w:bidi="ar-SA"/>
        </w:rPr>
        <w:t>四</w:t>
      </w:r>
      <w:r>
        <w:rPr>
          <w:rFonts w:hint="eastAsia" w:ascii="Times New Roman" w:hAnsi="Times New Roman" w:cs="Times New Roman"/>
          <w:kern w:val="2"/>
          <w:sz w:val="30"/>
          <w:szCs w:val="30"/>
          <w:lang w:val="en-US" w:bidi="ar-SA"/>
        </w:rPr>
        <w:t>）申报企业</w:t>
      </w:r>
      <w:r>
        <w:rPr>
          <w:rFonts w:hint="eastAsia" w:ascii="Times New Roman" w:hAnsi="Times New Roman" w:cs="Times New Roman"/>
          <w:kern w:val="2"/>
          <w:sz w:val="30"/>
          <w:szCs w:val="30"/>
          <w:lang w:val="en-US" w:eastAsia="zh-CN" w:bidi="ar-SA"/>
        </w:rPr>
        <w:t>按照</w:t>
      </w:r>
      <w:r>
        <w:rPr>
          <w:rFonts w:hint="eastAsia" w:ascii="Times New Roman" w:hAnsi="Times New Roman" w:cs="Times New Roman"/>
          <w:kern w:val="2"/>
          <w:sz w:val="30"/>
          <w:szCs w:val="30"/>
          <w:lang w:val="en-US" w:bidi="ar-SA"/>
        </w:rPr>
        <w:t>量价挂钩原则，合理申报A采购单</w:t>
      </w:r>
      <w:r>
        <w:rPr>
          <w:rFonts w:hint="eastAsia" w:ascii="Times New Roman" w:hAnsi="Times New Roman" w:cs="Times New Roman"/>
          <w:kern w:val="2"/>
          <w:sz w:val="30"/>
          <w:szCs w:val="30"/>
          <w:lang w:val="en-US" w:eastAsia="zh-CN" w:bidi="ar-SA"/>
        </w:rPr>
        <w:t>产品</w:t>
      </w:r>
      <w:r>
        <w:rPr>
          <w:rFonts w:hint="eastAsia" w:ascii="Times New Roman" w:hAnsi="Times New Roman" w:cs="Times New Roman"/>
          <w:kern w:val="2"/>
          <w:sz w:val="30"/>
          <w:szCs w:val="30"/>
          <w:lang w:val="en-US" w:bidi="ar-SA"/>
        </w:rPr>
        <w:t>梯级价格。</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1.过评A采购单2家（含</w:t>
      </w:r>
      <w:r>
        <w:rPr>
          <w:rFonts w:hint="eastAsia" w:ascii="Times New Roman" w:hAnsi="Times New Roman" w:cs="Times New Roman"/>
          <w:kern w:val="2"/>
          <w:sz w:val="30"/>
          <w:szCs w:val="30"/>
          <w:lang w:val="en-US" w:eastAsia="zh-CN" w:bidi="ar-SA"/>
        </w:rPr>
        <w:t>本数</w:t>
      </w:r>
      <w:r>
        <w:rPr>
          <w:rFonts w:hint="eastAsia" w:ascii="Times New Roman" w:hAnsi="Times New Roman" w:cs="Times New Roman"/>
          <w:kern w:val="2"/>
          <w:sz w:val="30"/>
          <w:szCs w:val="30"/>
          <w:lang w:val="en-US" w:bidi="ar-SA"/>
        </w:rPr>
        <w:t>）以下的，按照2个梯级分别报价，第1梯级报价是联盟地区本企业首年预采购量为</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%对应的梯级价格，第2梯级报价超过联盟地区本企业首年预采购量的</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%对应的梯级价格。第2梯级报价高于第1梯级报价的为无效报价，第2梯级报价比第1梯级报价的降幅至少以</w:t>
      </w:r>
      <w:r>
        <w:rPr>
          <w:rFonts w:hint="eastAsia" w:ascii="Times New Roman" w:hAnsi="Times New Roman" w:cs="Times New Roman"/>
          <w:kern w:val="2"/>
          <w:sz w:val="30"/>
          <w:szCs w:val="30"/>
          <w:lang w:val="en-US" w:eastAsia="zh-CN" w:bidi="ar-SA"/>
        </w:rPr>
        <w:t>2</w:t>
      </w:r>
      <w:r>
        <w:rPr>
          <w:rFonts w:hint="eastAsia" w:ascii="Times New Roman" w:hAnsi="Times New Roman" w:cs="Times New Roman"/>
          <w:kern w:val="2"/>
          <w:sz w:val="30"/>
          <w:szCs w:val="30"/>
          <w:lang w:val="en-US" w:bidi="ar-SA"/>
        </w:rPr>
        <w:t>%（百分比保留到个位）计。</w:t>
      </w:r>
    </w:p>
    <w:p>
      <w:pPr>
        <w:autoSpaceDE/>
        <w:autoSpaceDN/>
        <w:spacing w:line="600" w:lineRule="exact"/>
        <w:ind w:firstLine="600" w:firstLineChars="200"/>
        <w:jc w:val="both"/>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lang w:val="en-US" w:bidi="ar-SA"/>
        </w:rPr>
        <w:t>2.过评A采购单3家（含</w:t>
      </w:r>
      <w:r>
        <w:rPr>
          <w:rFonts w:hint="eastAsia" w:ascii="Times New Roman" w:hAnsi="Times New Roman" w:cs="Times New Roman"/>
          <w:kern w:val="2"/>
          <w:sz w:val="30"/>
          <w:szCs w:val="30"/>
          <w:lang w:val="en-US" w:eastAsia="zh-CN" w:bidi="ar-SA"/>
        </w:rPr>
        <w:t>本数</w:t>
      </w:r>
      <w:r>
        <w:rPr>
          <w:rFonts w:hint="eastAsia" w:ascii="Times New Roman" w:hAnsi="Times New Roman" w:cs="Times New Roman"/>
          <w:kern w:val="2"/>
          <w:sz w:val="30"/>
          <w:szCs w:val="30"/>
          <w:lang w:val="en-US" w:bidi="ar-SA"/>
        </w:rPr>
        <w:t>）以上的，按照2个梯级分别报价，第1梯级报价是联盟地区本企业首年预采购量为</w:t>
      </w:r>
      <w:r>
        <w:rPr>
          <w:rFonts w:hint="eastAsia" w:ascii="Times New Roman" w:hAnsi="Times New Roman" w:cs="Times New Roman"/>
          <w:color w:val="auto"/>
          <w:kern w:val="2"/>
          <w:sz w:val="30"/>
          <w:szCs w:val="30"/>
          <w:lang w:val="en-US" w:eastAsia="zh-CN" w:bidi="ar-SA"/>
        </w:rPr>
        <w:t>100</w:t>
      </w:r>
      <w:r>
        <w:rPr>
          <w:rFonts w:hint="eastAsia" w:ascii="Times New Roman" w:hAnsi="Times New Roman" w:cs="Times New Roman"/>
          <w:color w:val="auto"/>
          <w:kern w:val="2"/>
          <w:sz w:val="30"/>
          <w:szCs w:val="30"/>
          <w:lang w:val="en-US" w:bidi="ar-SA"/>
        </w:rPr>
        <w:t>%</w:t>
      </w:r>
      <w:r>
        <w:rPr>
          <w:rFonts w:hint="eastAsia" w:ascii="Times New Roman" w:hAnsi="Times New Roman" w:cs="Times New Roman"/>
          <w:kern w:val="2"/>
          <w:sz w:val="30"/>
          <w:szCs w:val="30"/>
          <w:lang w:val="en-US" w:bidi="ar-SA"/>
        </w:rPr>
        <w:t>对应的梯级价格，第2梯级报价是超过联盟地区本企业首年预采购量的</w:t>
      </w:r>
      <w:r>
        <w:rPr>
          <w:rFonts w:hint="eastAsia" w:ascii="Times New Roman" w:hAnsi="Times New Roman" w:cs="Times New Roman"/>
          <w:kern w:val="2"/>
          <w:sz w:val="30"/>
          <w:szCs w:val="30"/>
          <w:lang w:val="en-US" w:eastAsia="zh-CN" w:bidi="ar-SA"/>
        </w:rPr>
        <w:t>100</w:t>
      </w:r>
      <w:r>
        <w:rPr>
          <w:rFonts w:hint="eastAsia" w:ascii="Times New Roman" w:hAnsi="Times New Roman" w:cs="Times New Roman"/>
          <w:kern w:val="2"/>
          <w:sz w:val="30"/>
          <w:szCs w:val="30"/>
          <w:lang w:val="en-US" w:bidi="ar-SA"/>
        </w:rPr>
        <w:t>%对应的梯级价格。第2梯级报价高</w:t>
      </w:r>
      <w:r>
        <w:rPr>
          <w:rFonts w:hint="eastAsia" w:ascii="Times New Roman" w:hAnsi="Times New Roman" w:cs="Times New Roman"/>
          <w:kern w:val="2"/>
          <w:sz w:val="30"/>
          <w:szCs w:val="30"/>
          <w:highlight w:val="none"/>
          <w:lang w:val="en-US" w:bidi="ar-SA"/>
        </w:rPr>
        <w:t>于第1梯级报价的为无效报价，第2梯级报价比第1梯级报价的降幅至少以</w:t>
      </w:r>
      <w:r>
        <w:rPr>
          <w:rFonts w:hint="eastAsia" w:ascii="Times New Roman" w:hAnsi="Times New Roman" w:cs="Times New Roman"/>
          <w:kern w:val="2"/>
          <w:sz w:val="30"/>
          <w:szCs w:val="30"/>
          <w:highlight w:val="none"/>
          <w:lang w:val="en-US" w:eastAsia="zh-CN" w:bidi="ar-SA"/>
        </w:rPr>
        <w:t>2</w:t>
      </w:r>
      <w:r>
        <w:rPr>
          <w:rFonts w:hint="eastAsia" w:ascii="Times New Roman" w:hAnsi="Times New Roman" w:cs="Times New Roman"/>
          <w:kern w:val="2"/>
          <w:sz w:val="30"/>
          <w:szCs w:val="30"/>
          <w:highlight w:val="none"/>
          <w:lang w:val="en-US" w:bidi="ar-SA"/>
        </w:rPr>
        <w:t>%（百分比保留到个位）计。</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kern w:val="2"/>
          <w:sz w:val="30"/>
          <w:szCs w:val="30"/>
          <w:highlight w:val="none"/>
          <w:lang w:val="en-US" w:eastAsia="zh-CN" w:bidi="ar-SA"/>
        </w:rPr>
        <w:t>3.若申报品规的“单位可比价”≤0.1000元，第2梯级报价可等于第1 梯级报价。若申报品规的“单位可比价”＞0.1000元，第2梯级申报品规的“单位可比价”可等于0.1000元。</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（五）同品种“单位可比价”：同品种企业申报品规的报价（A采购单按第1梯级报价）按差比价规则折算为统一代表品规的价格，作为申报品规的单位可比价。</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（六）过评B采购单企业的报价对应联盟地区本企业首年预采购量的100%，非过评B采购单企业不设置约定首年预采购量比例。</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（七）同品种企业申报品规的“单位可比价”须不高于最高有效申报价。</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（八）申报企业“供应清单”内中选药品的价格由省平台以申报品规为代表品按差比价计算确定。</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（九）规定时间内未报价或报错价的，报价结束后不得补报或修改，由此引起的一切后果由投标人自行负责。</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color w:val="auto"/>
          <w:kern w:val="2"/>
          <w:sz w:val="30"/>
          <w:szCs w:val="30"/>
          <w:highlight w:val="none"/>
          <w:lang w:val="en-US" w:eastAsia="zh-CN" w:bidi="ar-SA"/>
        </w:rPr>
        <w:t>（十）本次药品集团带量采购所涉药品差比价关系参照现有规则。</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四、报价信息解密</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报价信息解密时邀请公证机构和有关部门参加，对报价信息解密的全过程进行监督。</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五、拟中选产品确定</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（一）</w:t>
      </w:r>
      <w:r>
        <w:rPr>
          <w:rFonts w:hint="eastAsia" w:ascii="Times New Roman" w:hAnsi="Times New Roman" w:cs="Times New Roman"/>
          <w:b/>
          <w:bCs/>
          <w:kern w:val="2"/>
          <w:sz w:val="30"/>
          <w:szCs w:val="30"/>
          <w:lang w:val="en-US" w:bidi="ar-SA"/>
        </w:rPr>
        <w:t>A采购单</w:t>
      </w:r>
      <w:r>
        <w:rPr>
          <w:rFonts w:ascii="Times New Roman" w:hAnsi="Times New Roman" w:cs="Times New Roman"/>
          <w:b/>
          <w:bCs/>
          <w:kern w:val="2"/>
          <w:sz w:val="30"/>
          <w:szCs w:val="30"/>
          <w:lang w:val="en-US" w:bidi="ar-SA"/>
        </w:rPr>
        <w:t>拟中选企业确定规则</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符合以下条件</w:t>
      </w:r>
      <w:r>
        <w:rPr>
          <w:rFonts w:hint="eastAsia" w:ascii="Times New Roman" w:hAnsi="Times New Roman" w:cs="Times New Roman"/>
          <w:kern w:val="2"/>
          <w:sz w:val="30"/>
          <w:szCs w:val="30"/>
          <w:lang w:val="en-US" w:eastAsia="zh-CN" w:bidi="ar-SA"/>
        </w:rPr>
        <w:t>之一</w:t>
      </w:r>
      <w:r>
        <w:rPr>
          <w:rFonts w:hint="eastAsia" w:ascii="Times New Roman" w:hAnsi="Times New Roman" w:cs="Times New Roman"/>
          <w:kern w:val="2"/>
          <w:sz w:val="30"/>
          <w:szCs w:val="30"/>
          <w:lang w:val="en-US" w:bidi="ar-SA"/>
        </w:rPr>
        <w:t>的，获得拟中选资格：</w:t>
      </w:r>
    </w:p>
    <w:p>
      <w:pPr>
        <w:autoSpaceDE/>
        <w:autoSpaceDN/>
        <w:spacing w:line="60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1.</w:t>
      </w:r>
      <w:r>
        <w:rPr>
          <w:rFonts w:hint="eastAsia" w:ascii="Times New Roman" w:hAnsi="Times New Roman" w:cs="Times New Roman"/>
          <w:color w:val="000000" w:themeColor="text1"/>
          <w:kern w:val="2"/>
          <w:sz w:val="30"/>
          <w:szCs w:val="30"/>
          <w:lang w:val="en-US" w:bidi="ar-SA"/>
          <w14:textFill>
            <w14:solidFill>
              <w14:schemeClr w14:val="tx1"/>
            </w14:solidFill>
          </w14:textFill>
        </w:rPr>
        <w:t>“单位可比价”≤最高有效申报价</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2家（含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）以下的，不淘汰；</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3</w:t>
      </w:r>
      <w:r>
        <w:rPr>
          <w:rFonts w:hint="eastAsia" w:ascii="Times New Roman" w:hAnsi="Times New Roman" w:cs="Times New Roman"/>
          <w:color w:val="000000" w:themeColor="text1"/>
          <w:kern w:val="2"/>
          <w:sz w:val="30"/>
          <w:szCs w:val="30"/>
          <w:lang w:val="en-US" w:bidi="ar-SA"/>
          <w14:textFill>
            <w14:solidFill>
              <w14:schemeClr w14:val="tx1"/>
            </w14:solidFill>
          </w14:textFill>
        </w:rPr>
        <w:t>家（含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）以上的按“单位可比价”从高到低依次顺位排序，淘汰“单位可比价”最高的1家企业。</w:t>
      </w:r>
    </w:p>
    <w:p>
      <w:pPr>
        <w:autoSpaceDE/>
        <w:autoSpaceDN/>
        <w:spacing w:line="600" w:lineRule="exact"/>
        <w:ind w:firstLine="600" w:firstLineChars="200"/>
        <w:jc w:val="both"/>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cs="Times New Roman"/>
          <w:kern w:val="2"/>
          <w:sz w:val="30"/>
          <w:szCs w:val="30"/>
          <w:lang w:val="en-US" w:eastAsia="zh-CN" w:bidi="ar-SA"/>
        </w:rPr>
        <w:t>2.根</w:t>
      </w:r>
      <w:r>
        <w:rPr>
          <w:rFonts w:hint="eastAsia" w:ascii="Times New Roman" w:hAnsi="Times New Roman" w:cs="Times New Roman"/>
          <w:color w:val="auto"/>
          <w:kern w:val="2"/>
          <w:sz w:val="30"/>
          <w:szCs w:val="30"/>
          <w:lang w:val="en-US" w:eastAsia="zh-CN" w:bidi="ar-SA"/>
        </w:rPr>
        <w:t>据上述第1点的拟中选结果，附表1同序号</w:t>
      </w:r>
      <w:r>
        <w:rPr>
          <w:rFonts w:hint="eastAsia" w:ascii="Times New Roman" w:hAnsi="Times New Roman" w:cs="Times New Roman"/>
          <w:color w:val="auto"/>
          <w:kern w:val="2"/>
          <w:sz w:val="30"/>
          <w:szCs w:val="30"/>
          <w:lang w:val="en-US" w:bidi="ar-SA"/>
        </w:rPr>
        <w:t>口腔崩解片的</w:t>
      </w:r>
      <w:r>
        <w:rPr>
          <w:rFonts w:hint="eastAsia" w:ascii="Times New Roman" w:hAnsi="Times New Roman" w:cs="Times New Roman"/>
          <w:color w:val="auto"/>
          <w:kern w:val="2"/>
          <w:sz w:val="30"/>
          <w:szCs w:val="30"/>
          <w:lang w:val="en-US" w:eastAsia="zh-CN" w:bidi="ar-SA"/>
        </w:rPr>
        <w:t>拟中选价格（或报价）</w:t>
      </w:r>
      <w:r>
        <w:rPr>
          <w:rFonts w:hint="eastAsia" w:ascii="Times New Roman" w:hAnsi="Times New Roman" w:cs="Times New Roman"/>
          <w:color w:val="auto"/>
          <w:kern w:val="2"/>
          <w:sz w:val="30"/>
          <w:szCs w:val="30"/>
          <w:lang w:val="en-US" w:bidi="ar-SA"/>
        </w:rPr>
        <w:t>不高于本企业</w:t>
      </w:r>
      <w:r>
        <w:rPr>
          <w:rFonts w:hint="eastAsia" w:ascii="Times New Roman" w:hAnsi="Times New Roman" w:cs="Times New Roman"/>
          <w:color w:val="auto"/>
          <w:kern w:val="2"/>
          <w:sz w:val="30"/>
          <w:szCs w:val="30"/>
          <w:lang w:val="en-US" w:eastAsia="zh-CN" w:bidi="ar-SA"/>
        </w:rPr>
        <w:t>同品种</w:t>
      </w:r>
      <w:r>
        <w:rPr>
          <w:rFonts w:hint="eastAsia" w:ascii="Times New Roman" w:hAnsi="Times New Roman" w:cs="Times New Roman"/>
          <w:color w:val="auto"/>
          <w:kern w:val="2"/>
          <w:sz w:val="30"/>
          <w:szCs w:val="30"/>
          <w:lang w:val="en-US" w:bidi="ar-SA"/>
        </w:rPr>
        <w:t>口服常释剂型拟中选价格的1.8倍；不同企业口腔崩解片的</w:t>
      </w:r>
      <w:r>
        <w:rPr>
          <w:rFonts w:hint="eastAsia" w:ascii="Times New Roman" w:hAnsi="Times New Roman" w:cs="Times New Roman"/>
          <w:color w:val="auto"/>
          <w:kern w:val="2"/>
          <w:sz w:val="30"/>
          <w:szCs w:val="30"/>
          <w:lang w:val="en-US" w:eastAsia="zh-CN" w:bidi="ar-SA"/>
        </w:rPr>
        <w:t>拟中选价格（或报价）</w:t>
      </w:r>
      <w:r>
        <w:rPr>
          <w:rFonts w:hint="eastAsia" w:ascii="Times New Roman" w:hAnsi="Times New Roman" w:cs="Times New Roman"/>
          <w:color w:val="auto"/>
          <w:kern w:val="2"/>
          <w:sz w:val="30"/>
          <w:szCs w:val="30"/>
          <w:lang w:val="en-US" w:bidi="ar-SA"/>
        </w:rPr>
        <w:t>不高于口服常释剂型最低拟中选价格</w:t>
      </w:r>
      <w:r>
        <w:rPr>
          <w:rFonts w:hint="eastAsia" w:ascii="Times New Roman" w:hAnsi="Times New Roman" w:cs="Times New Roman"/>
          <w:color w:val="auto"/>
          <w:kern w:val="2"/>
          <w:sz w:val="30"/>
          <w:szCs w:val="30"/>
          <w:lang w:val="en-US" w:eastAsia="zh-CN" w:bidi="ar-SA"/>
        </w:rPr>
        <w:t>的</w:t>
      </w:r>
      <w:r>
        <w:rPr>
          <w:rFonts w:hint="eastAsia" w:ascii="Times New Roman" w:hAnsi="Times New Roman" w:cs="Times New Roman"/>
          <w:color w:val="auto"/>
          <w:kern w:val="2"/>
          <w:sz w:val="30"/>
          <w:szCs w:val="30"/>
          <w:lang w:val="en-US" w:bidi="ar-SA"/>
        </w:rPr>
        <w:t>1.8倍</w:t>
      </w:r>
      <w:r>
        <w:rPr>
          <w:rFonts w:hint="eastAsia" w:ascii="Times New Roman" w:hAnsi="Times New Roman" w:cs="Times New Roman"/>
          <w:color w:val="auto"/>
          <w:kern w:val="2"/>
          <w:sz w:val="30"/>
          <w:szCs w:val="30"/>
          <w:lang w:val="en-US" w:eastAsia="zh-CN" w:bidi="ar-SA"/>
        </w:rPr>
        <w:t>。</w:t>
      </w:r>
    </w:p>
    <w:p>
      <w:pPr>
        <w:autoSpaceDE/>
        <w:autoSpaceDN/>
        <w:spacing w:line="600" w:lineRule="exact"/>
        <w:ind w:firstLine="600" w:firstLineChars="200"/>
        <w:jc w:val="both"/>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cs="Times New Roman"/>
          <w:color w:val="auto"/>
          <w:kern w:val="2"/>
          <w:sz w:val="30"/>
          <w:szCs w:val="30"/>
          <w:lang w:val="en-US" w:eastAsia="zh-CN" w:bidi="ar-SA"/>
        </w:rPr>
        <w:t>3.根据上述第1点的拟中选结果，附表1同序号</w:t>
      </w:r>
      <w:r>
        <w:rPr>
          <w:rFonts w:hint="eastAsia" w:ascii="Times New Roman" w:hAnsi="Times New Roman" w:cs="Times New Roman"/>
          <w:color w:val="auto"/>
          <w:kern w:val="2"/>
          <w:sz w:val="30"/>
          <w:szCs w:val="30"/>
          <w:lang w:val="en-US" w:bidi="ar-SA"/>
        </w:rPr>
        <w:t>颗粒剂、口服混悬剂、口服溶液剂的</w:t>
      </w:r>
      <w:r>
        <w:rPr>
          <w:rFonts w:hint="eastAsia" w:ascii="Times New Roman" w:hAnsi="Times New Roman" w:cs="Times New Roman"/>
          <w:color w:val="auto"/>
          <w:kern w:val="2"/>
          <w:sz w:val="30"/>
          <w:szCs w:val="30"/>
          <w:lang w:val="en-US" w:eastAsia="zh-CN" w:bidi="ar-SA"/>
        </w:rPr>
        <w:t>“单位可比价”</w:t>
      </w:r>
      <w:r>
        <w:rPr>
          <w:rFonts w:hint="eastAsia" w:ascii="Times New Roman" w:hAnsi="Times New Roman" w:cs="Times New Roman"/>
          <w:color w:val="auto"/>
          <w:kern w:val="2"/>
          <w:sz w:val="30"/>
          <w:szCs w:val="30"/>
          <w:lang w:val="en-US" w:bidi="ar-SA"/>
        </w:rPr>
        <w:t>不高于不同企业</w:t>
      </w:r>
      <w:r>
        <w:rPr>
          <w:rFonts w:hint="eastAsia" w:ascii="Times New Roman" w:hAnsi="Times New Roman" w:cs="Times New Roman"/>
          <w:color w:val="auto"/>
          <w:kern w:val="2"/>
          <w:sz w:val="30"/>
          <w:szCs w:val="30"/>
          <w:lang w:val="en-US" w:eastAsia="zh-CN" w:bidi="ar-SA"/>
        </w:rPr>
        <w:t>同品种</w:t>
      </w:r>
      <w:r>
        <w:rPr>
          <w:rFonts w:hint="eastAsia" w:ascii="Times New Roman" w:hAnsi="Times New Roman" w:cs="Times New Roman"/>
          <w:color w:val="auto"/>
          <w:kern w:val="2"/>
          <w:sz w:val="30"/>
          <w:szCs w:val="30"/>
          <w:lang w:val="en-US" w:bidi="ar-SA"/>
        </w:rPr>
        <w:t>口服常释剂型最高拟中选价格</w:t>
      </w:r>
      <w:r>
        <w:rPr>
          <w:rFonts w:hint="eastAsia" w:ascii="Times New Roman" w:hAnsi="Times New Roman" w:cs="Times New Roman"/>
          <w:color w:val="auto"/>
          <w:kern w:val="2"/>
          <w:sz w:val="30"/>
          <w:szCs w:val="30"/>
          <w:lang w:val="en-US" w:eastAsia="zh-CN" w:bidi="ar-SA"/>
        </w:rPr>
        <w:t>。</w:t>
      </w:r>
    </w:p>
    <w:p>
      <w:pPr>
        <w:autoSpaceDE/>
        <w:autoSpaceDN/>
        <w:spacing w:line="600" w:lineRule="exact"/>
        <w:ind w:firstLine="600" w:firstLineChars="200"/>
        <w:jc w:val="both"/>
        <w:rPr>
          <w:rFonts w:ascii="Times New Roman" w:hAnsi="Times New Roman"/>
          <w:kern w:val="2"/>
          <w:sz w:val="30"/>
          <w:szCs w:val="30"/>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4.</w:t>
      </w:r>
      <w:r>
        <w:rPr>
          <w:rFonts w:hint="eastAsia" w:ascii="Times New Roman" w:hAnsi="Times New Roman" w:cs="Times New Roman"/>
          <w:color w:val="auto"/>
          <w:kern w:val="2"/>
          <w:sz w:val="30"/>
          <w:szCs w:val="30"/>
          <w:lang w:val="en-US" w:bidi="ar-SA"/>
        </w:rPr>
        <w:t>申报</w:t>
      </w:r>
      <w:r>
        <w:rPr>
          <w:rFonts w:hint="eastAsia" w:ascii="Times New Roman" w:hAnsi="Times New Roman" w:cs="Times New Roman"/>
          <w:color w:val="auto"/>
          <w:kern w:val="2"/>
          <w:sz w:val="30"/>
          <w:szCs w:val="30"/>
          <w:highlight w:val="none"/>
          <w:lang w:val="en-US" w:bidi="ar-SA"/>
        </w:rPr>
        <w:t>品规报价降幅≥</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以附表</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对应规格最</w:t>
      </w:r>
      <w:r>
        <w:rPr>
          <w:rFonts w:ascii="Times New Roman" w:hAnsi="Times New Roman" w:cs="Times New Roman"/>
          <w:color w:val="000000" w:themeColor="text1"/>
          <w:kern w:val="2"/>
          <w:sz w:val="30"/>
          <w:szCs w:val="30"/>
          <w:lang w:val="en-US" w:bidi="ar-SA"/>
          <w14:textFill>
            <w14:solidFill>
              <w14:schemeClr w14:val="tx1"/>
            </w14:solidFill>
          </w14:textFill>
        </w:rPr>
        <w:t>高有效申报价为基数进行计算</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降幅以百分比计，四舍五入保留百分比小数点后2位</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600" w:lineRule="exact"/>
        <w:ind w:firstLine="600" w:firstLineChars="200"/>
        <w:jc w:val="both"/>
        <w:rPr>
          <w:rFonts w:hint="eastAsia" w:ascii="Times New Roman" w:hAnsi="Times New Roman" w:eastAsia="仿宋"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5.</w:t>
      </w:r>
      <w:r>
        <w:rPr>
          <w:rFonts w:hint="eastAsia" w:ascii="Times New Roman" w:hAnsi="Times New Roman" w:cs="Times New Roman"/>
          <w:kern w:val="2"/>
          <w:sz w:val="30"/>
          <w:szCs w:val="30"/>
          <w:lang w:val="en-US" w:bidi="ar-SA"/>
        </w:rPr>
        <w:t>不同通用名药品合并竞价的，按日平均治疗费用相同的原则计算价格（日平均治疗费用=申报</w:t>
      </w:r>
      <w:r>
        <w:rPr>
          <w:rFonts w:ascii="Times New Roman" w:hAnsi="Times New Roman" w:cs="Times New Roman"/>
          <w:kern w:val="2"/>
          <w:sz w:val="30"/>
          <w:szCs w:val="30"/>
          <w:lang w:val="en-US" w:bidi="ar-SA"/>
        </w:rPr>
        <w:t>品规</w:t>
      </w:r>
      <w:r>
        <w:rPr>
          <w:rFonts w:hint="eastAsia" w:ascii="Times New Roman" w:hAnsi="Times New Roman" w:cs="Times New Roman"/>
          <w:kern w:val="2"/>
          <w:sz w:val="30"/>
          <w:szCs w:val="30"/>
          <w:lang w:val="en-US" w:bidi="ar-SA"/>
        </w:rPr>
        <w:t>的价格×申报品规的日治疗量）</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不同品种的日平均治疗费用≤</w:t>
      </w:r>
      <w:r>
        <w:rPr>
          <w:rFonts w:hint="eastAsia" w:ascii="Times New Roman" w:hAnsi="Times New Roman" w:cs="Times New Roman"/>
          <w:kern w:val="2"/>
          <w:sz w:val="30"/>
          <w:szCs w:val="30"/>
          <w:lang w:val="en-US" w:eastAsia="zh-CN" w:bidi="ar-SA"/>
        </w:rPr>
        <w:t>设定的最高</w:t>
      </w:r>
      <w:r>
        <w:rPr>
          <w:rFonts w:hint="eastAsia" w:ascii="Times New Roman" w:hAnsi="Times New Roman" w:cs="Times New Roman"/>
          <w:kern w:val="2"/>
          <w:sz w:val="30"/>
          <w:szCs w:val="30"/>
          <w:lang w:val="en-US" w:bidi="ar-SA"/>
        </w:rPr>
        <w:t>日平均治疗费用</w:t>
      </w:r>
      <w:r>
        <w:rPr>
          <w:rFonts w:hint="eastAsia" w:ascii="Times New Roman" w:hAnsi="Times New Roman" w:cs="Times New Roman"/>
          <w:kern w:val="2"/>
          <w:sz w:val="30"/>
          <w:szCs w:val="30"/>
          <w:lang w:val="en-US" w:eastAsia="zh-CN" w:bidi="ar-SA"/>
        </w:rPr>
        <w:t>。</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6.</w:t>
      </w:r>
      <w:r>
        <w:rPr>
          <w:rFonts w:hint="eastAsia" w:ascii="Times New Roman" w:hAnsi="Times New Roman" w:cs="Times New Roman"/>
          <w:kern w:val="2"/>
          <w:sz w:val="30"/>
          <w:szCs w:val="30"/>
          <w:lang w:val="en-US" w:bidi="ar-SA"/>
        </w:rPr>
        <w:t>“单位可比价”≤0.1000元。</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hint="eastAsia" w:ascii="Times New Roman" w:hAnsi="Times New Roman" w:cs="Times New Roman"/>
          <w:b/>
          <w:bCs/>
          <w:kern w:val="2"/>
          <w:sz w:val="30"/>
          <w:szCs w:val="30"/>
          <w:lang w:val="en-US" w:bidi="ar-SA"/>
        </w:rPr>
        <w:t>（二）B采购单拟中选企业确定规则</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符合以下条件</w:t>
      </w:r>
      <w:r>
        <w:rPr>
          <w:rFonts w:hint="eastAsia" w:ascii="Times New Roman" w:hAnsi="Times New Roman" w:cs="Times New Roman"/>
          <w:kern w:val="2"/>
          <w:sz w:val="30"/>
          <w:szCs w:val="30"/>
          <w:lang w:val="en-US" w:eastAsia="zh-CN" w:bidi="ar-SA"/>
        </w:rPr>
        <w:t>之一</w:t>
      </w:r>
      <w:r>
        <w:rPr>
          <w:rFonts w:hint="eastAsia" w:ascii="Times New Roman" w:hAnsi="Times New Roman" w:cs="Times New Roman"/>
          <w:kern w:val="2"/>
          <w:sz w:val="30"/>
          <w:szCs w:val="30"/>
          <w:lang w:val="en-US" w:bidi="ar-SA"/>
        </w:rPr>
        <w:t>的，获得拟中选资格：</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1.</w:t>
      </w:r>
      <w:r>
        <w:rPr>
          <w:rFonts w:hint="eastAsia" w:ascii="Times New Roman" w:hAnsi="Times New Roman" w:cs="Times New Roman"/>
          <w:kern w:val="2"/>
          <w:sz w:val="30"/>
          <w:szCs w:val="30"/>
          <w:lang w:val="en-US" w:bidi="ar-SA"/>
        </w:rPr>
        <w:t>过评B采购单中，按“单位可比价”由低到高确定依次顺位排序</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前</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%比例（四舍五入保留个位）的企业获得拟中选资格</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最多入围企业数量为6家。</w:t>
      </w:r>
    </w:p>
    <w:p>
      <w:pPr>
        <w:autoSpaceDE/>
        <w:autoSpaceDN/>
        <w:spacing w:line="600" w:lineRule="exact"/>
        <w:ind w:firstLine="600" w:firstLineChars="200"/>
        <w:jc w:val="both"/>
        <w:rPr>
          <w:rFonts w:hint="eastAsia"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2.</w:t>
      </w:r>
      <w:r>
        <w:rPr>
          <w:rFonts w:hint="eastAsia" w:ascii="Times New Roman" w:hAnsi="Times New Roman" w:cs="Times New Roman"/>
          <w:kern w:val="2"/>
          <w:sz w:val="30"/>
          <w:szCs w:val="30"/>
          <w:lang w:val="en-US" w:bidi="ar-SA"/>
        </w:rPr>
        <w:t>非过评B采购单中，按“单位可比价”由低到高确定依次顺位排序</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前</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比例（四舍五入保留个位）的企业获得拟中选资格，且非过评的“单位可比价”须低于过评A/B采购单最低拟中选价格两者之间的低值；若非过评B采购单仅有1家且符合上述条件的，获得拟中选资格；最多入围企业数量为6家。</w:t>
      </w:r>
    </w:p>
    <w:p>
      <w:pPr>
        <w:autoSpaceDE/>
        <w:autoSpaceDN/>
        <w:spacing w:line="600" w:lineRule="exact"/>
        <w:ind w:firstLine="600" w:firstLineChars="200"/>
        <w:jc w:val="both"/>
        <w:rPr>
          <w:rFonts w:hint="eastAsia" w:ascii="Times New Roman" w:hAnsi="Times New Roman"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根据上述第2点的拟中选结果，同品种不存在差比关系的其他剂型</w:t>
      </w:r>
      <w:r>
        <w:rPr>
          <w:rFonts w:hint="eastAsia" w:ascii="Times New Roman" w:hAnsi="Times New Roman" w:cs="Times New Roman"/>
          <w:kern w:val="2"/>
          <w:sz w:val="30"/>
          <w:szCs w:val="30"/>
          <w:lang w:val="en-US" w:bidi="ar-SA"/>
        </w:rPr>
        <w:t>符合以下</w:t>
      </w:r>
      <w:r>
        <w:rPr>
          <w:rFonts w:hint="eastAsia" w:ascii="Times New Roman" w:hAnsi="Times New Roman" w:cs="Times New Roman"/>
          <w:kern w:val="2"/>
          <w:sz w:val="30"/>
          <w:szCs w:val="30"/>
          <w:lang w:val="en-US" w:eastAsia="zh-CN" w:bidi="ar-SA"/>
        </w:rPr>
        <w:t>情形之一</w:t>
      </w:r>
      <w:r>
        <w:rPr>
          <w:rFonts w:hint="eastAsia" w:ascii="Times New Roman" w:hAnsi="Times New Roman" w:cs="Times New Roman"/>
          <w:kern w:val="2"/>
          <w:sz w:val="30"/>
          <w:szCs w:val="30"/>
          <w:lang w:val="en-US" w:bidi="ar-SA"/>
        </w:rPr>
        <w:t>的，获得拟中选资格</w:t>
      </w:r>
      <w:r>
        <w:rPr>
          <w:rFonts w:hint="eastAsia" w:ascii="Times New Roman" w:hAnsi="Times New Roman" w:cs="Times New Roman"/>
          <w:kern w:val="2"/>
          <w:sz w:val="30"/>
          <w:szCs w:val="30"/>
          <w:lang w:val="en-US" w:eastAsia="zh-CN" w:bidi="ar-SA"/>
        </w:rPr>
        <w:t>：</w:t>
      </w:r>
    </w:p>
    <w:p>
      <w:pPr>
        <w:numPr>
          <w:ilvl w:val="0"/>
          <w:numId w:val="3"/>
        </w:numPr>
        <w:autoSpaceDE/>
        <w:autoSpaceDN/>
        <w:spacing w:line="600" w:lineRule="exact"/>
        <w:ind w:left="60" w:leftChars="0" w:firstLine="600" w:firstLineChars="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bidi="ar-SA"/>
        </w:rPr>
        <w:t>非过评口腔崩解片/滴丸剂的拟中选价格</w:t>
      </w:r>
      <w:r>
        <w:rPr>
          <w:rFonts w:hint="eastAsia" w:ascii="Times New Roman" w:hAnsi="Times New Roman" w:cs="Times New Roman"/>
          <w:color w:val="auto"/>
          <w:kern w:val="2"/>
          <w:sz w:val="30"/>
          <w:szCs w:val="30"/>
          <w:lang w:val="en-US" w:eastAsia="zh-CN" w:bidi="ar-SA"/>
        </w:rPr>
        <w:t>（或报价）</w:t>
      </w:r>
      <w:r>
        <w:rPr>
          <w:rFonts w:hint="eastAsia" w:ascii="Times New Roman" w:hAnsi="Times New Roman" w:cs="Times New Roman"/>
          <w:color w:val="auto"/>
          <w:kern w:val="2"/>
          <w:sz w:val="30"/>
          <w:szCs w:val="30"/>
          <w:lang w:val="en-US" w:bidi="ar-SA"/>
        </w:rPr>
        <w:t>低于过评A/B采购单口服常释剂型最低拟中选价格1.8倍且低于过评口腔崩解片/滴丸剂最低拟中选价格；</w:t>
      </w:r>
    </w:p>
    <w:p>
      <w:pPr>
        <w:numPr>
          <w:ilvl w:val="0"/>
          <w:numId w:val="3"/>
        </w:numPr>
        <w:autoSpaceDE/>
        <w:autoSpaceDN/>
        <w:spacing w:line="600" w:lineRule="exact"/>
        <w:ind w:left="60" w:leftChars="0" w:firstLine="600" w:firstLineChars="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bidi="ar-SA"/>
        </w:rPr>
        <w:t>非过评膜剂的拟中选价格</w:t>
      </w:r>
      <w:r>
        <w:rPr>
          <w:rFonts w:hint="eastAsia" w:ascii="Times New Roman" w:hAnsi="Times New Roman" w:cs="Times New Roman"/>
          <w:color w:val="auto"/>
          <w:kern w:val="2"/>
          <w:sz w:val="30"/>
          <w:szCs w:val="30"/>
          <w:lang w:val="en-US" w:eastAsia="zh-CN" w:bidi="ar-SA"/>
        </w:rPr>
        <w:t>（或报价）</w:t>
      </w:r>
      <w:r>
        <w:rPr>
          <w:rFonts w:hint="eastAsia" w:ascii="Times New Roman" w:hAnsi="Times New Roman" w:cs="Times New Roman"/>
          <w:color w:val="auto"/>
          <w:kern w:val="2"/>
          <w:sz w:val="30"/>
          <w:szCs w:val="30"/>
          <w:lang w:val="en-US" w:bidi="ar-SA"/>
        </w:rPr>
        <w:t>低于过评A/B采购单口服常释剂型最低拟中选价格1.8倍且低于过评膜剂最低拟中选价格；</w:t>
      </w:r>
    </w:p>
    <w:p>
      <w:pPr>
        <w:numPr>
          <w:ilvl w:val="0"/>
          <w:numId w:val="3"/>
        </w:numPr>
        <w:autoSpaceDE/>
        <w:autoSpaceDN/>
        <w:spacing w:line="600" w:lineRule="exact"/>
        <w:ind w:left="60" w:leftChars="0" w:firstLine="600" w:firstLineChars="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eastAsia="zh-CN" w:bidi="ar-SA"/>
        </w:rPr>
        <w:t>非过评</w:t>
      </w:r>
      <w:r>
        <w:rPr>
          <w:rFonts w:ascii="Times New Roman" w:hAnsi="Times New Roman" w:cs="Times New Roman"/>
          <w:color w:val="auto"/>
          <w:kern w:val="2"/>
          <w:sz w:val="30"/>
          <w:szCs w:val="30"/>
          <w:lang w:val="en-US" w:bidi="ar-SA"/>
        </w:rPr>
        <w:t>眼用凝胶</w:t>
      </w:r>
      <w:r>
        <w:rPr>
          <w:rFonts w:hint="eastAsia" w:ascii="Times New Roman" w:hAnsi="Times New Roman" w:cs="Times New Roman"/>
          <w:color w:val="auto"/>
          <w:kern w:val="2"/>
          <w:sz w:val="30"/>
          <w:szCs w:val="30"/>
          <w:lang w:val="en-US" w:eastAsia="zh-CN" w:bidi="ar-SA"/>
        </w:rPr>
        <w:t>的拟中选价格（或报价）</w:t>
      </w:r>
      <w:r>
        <w:rPr>
          <w:rFonts w:hint="eastAsia" w:ascii="Times New Roman" w:hAnsi="Times New Roman" w:cs="Times New Roman"/>
          <w:color w:val="auto"/>
          <w:kern w:val="2"/>
          <w:sz w:val="30"/>
          <w:szCs w:val="30"/>
          <w:lang w:val="en-US" w:bidi="ar-SA"/>
        </w:rPr>
        <w:t>低于过评A/B采购单滴眼液最低拟中选价格1.8倍且低于过评眼用凝胶最低拟中选价格；</w:t>
      </w:r>
    </w:p>
    <w:p>
      <w:pPr>
        <w:autoSpaceDE/>
        <w:autoSpaceDN/>
        <w:spacing w:line="600" w:lineRule="exact"/>
        <w:ind w:firstLine="600" w:firstLineChars="200"/>
        <w:jc w:val="both"/>
        <w:rPr>
          <w:rFonts w:hint="default" w:ascii="Times New Roman" w:hAnsi="Times New Roman" w:cs="Times New Roman"/>
          <w:kern w:val="2"/>
          <w:sz w:val="30"/>
          <w:szCs w:val="30"/>
          <w:lang w:val="en-US" w:eastAsia="zh-CN" w:bidi="ar-SA"/>
        </w:rPr>
      </w:pPr>
      <w:r>
        <w:rPr>
          <w:rFonts w:hint="eastAsia" w:ascii="Times New Roman" w:hAnsi="Times New Roman" w:cs="Times New Roman"/>
          <w:color w:val="auto"/>
          <w:kern w:val="2"/>
          <w:sz w:val="30"/>
          <w:szCs w:val="30"/>
          <w:lang w:val="en-US" w:eastAsia="zh-CN" w:bidi="ar-SA"/>
        </w:rPr>
        <w:t>（4）非过评口腔崩解片的拟中选价格（或报价）低于过评A/B采购单颗粒剂最低拟中选价格1.5倍且低于过评口腔崩解片最低拟中选价格；</w:t>
      </w:r>
    </w:p>
    <w:p>
      <w:pPr>
        <w:numPr>
          <w:ilvl w:val="0"/>
          <w:numId w:val="0"/>
        </w:numPr>
        <w:autoSpaceDE/>
        <w:autoSpaceDN/>
        <w:spacing w:line="600" w:lineRule="exact"/>
        <w:ind w:firstLine="600" w:firstLineChars="200"/>
        <w:jc w:val="both"/>
        <w:rPr>
          <w:rFonts w:hint="eastAsia" w:ascii="Times New Roman" w:hAnsi="Times New Roman" w:eastAsia="仿宋"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3.</w:t>
      </w:r>
      <w:r>
        <w:rPr>
          <w:rFonts w:hint="eastAsia" w:ascii="Times New Roman" w:hAnsi="Times New Roman" w:cs="Times New Roman"/>
          <w:kern w:val="2"/>
          <w:sz w:val="30"/>
          <w:szCs w:val="30"/>
          <w:lang w:val="en-US" w:bidi="ar-SA"/>
        </w:rPr>
        <w:t>不同通用名药品合并竞价的，按日平均治疗费用相同的原则计算价格（日平均治疗费用=申报</w:t>
      </w:r>
      <w:r>
        <w:rPr>
          <w:rFonts w:ascii="Times New Roman" w:hAnsi="Times New Roman" w:cs="Times New Roman"/>
          <w:kern w:val="2"/>
          <w:sz w:val="30"/>
          <w:szCs w:val="30"/>
          <w:lang w:val="en-US" w:bidi="ar-SA"/>
        </w:rPr>
        <w:t>品规</w:t>
      </w:r>
      <w:r>
        <w:rPr>
          <w:rFonts w:hint="eastAsia" w:ascii="Times New Roman" w:hAnsi="Times New Roman" w:cs="Times New Roman"/>
          <w:kern w:val="2"/>
          <w:sz w:val="30"/>
          <w:szCs w:val="30"/>
          <w:lang w:val="en-US" w:bidi="ar-SA"/>
        </w:rPr>
        <w:t>的价格×申报品规的日治疗量）</w:t>
      </w:r>
      <w:r>
        <w:rPr>
          <w:rFonts w:hint="eastAsia" w:ascii="Times New Roman" w:hAnsi="Times New Roman" w:cs="Times New Roman"/>
          <w:kern w:val="2"/>
          <w:sz w:val="30"/>
          <w:szCs w:val="30"/>
          <w:lang w:val="en-US" w:eastAsia="zh-CN" w:bidi="ar-SA"/>
        </w:rPr>
        <w:t>，不同品种的日平均治疗费用≤设定的最高日平均治疗费用。</w:t>
      </w:r>
    </w:p>
    <w:p>
      <w:pPr>
        <w:autoSpaceDE/>
        <w:autoSpaceDN/>
        <w:spacing w:line="600" w:lineRule="exact"/>
        <w:ind w:firstLine="600" w:firstLineChars="200"/>
        <w:jc w:val="both"/>
        <w:rPr>
          <w:rFonts w:hint="eastAsia" w:ascii="Times New Roman" w:hAnsi="Times New Roman" w:eastAsia="仿宋"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4</w:t>
      </w:r>
      <w:r>
        <w:rPr>
          <w:rFonts w:hint="eastAsia" w:ascii="Times New Roman" w:hAnsi="Times New Roman" w:cs="Times New Roman"/>
          <w:kern w:val="2"/>
          <w:sz w:val="30"/>
          <w:szCs w:val="30"/>
          <w:lang w:val="en-US" w:bidi="ar-SA"/>
        </w:rPr>
        <w:t>.同品种“单位可比价”≤0.1000元</w:t>
      </w:r>
      <w:r>
        <w:rPr>
          <w:rFonts w:hint="eastAsia" w:ascii="Times New Roman" w:hAnsi="Times New Roman" w:cs="Times New Roman"/>
          <w:kern w:val="2"/>
          <w:sz w:val="30"/>
          <w:szCs w:val="30"/>
          <w:lang w:val="en-US" w:eastAsia="zh-CN" w:bidi="ar-SA"/>
        </w:rPr>
        <w:t>。</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三</w:t>
      </w: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A/</w:t>
      </w:r>
      <w:r>
        <w:rPr>
          <w:rFonts w:ascii="Times New Roman" w:hAnsi="Times New Roman" w:cs="Times New Roman"/>
          <w:b/>
          <w:bCs/>
          <w:kern w:val="2"/>
          <w:sz w:val="30"/>
          <w:szCs w:val="30"/>
          <w:lang w:val="en-US" w:bidi="ar-SA"/>
        </w:rPr>
        <w:t>B采购单申报企业“单位可比价”相同时，按以下规则依次确定拟中选企业：</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w:t>
      </w:r>
      <w:r>
        <w:rPr>
          <w:rFonts w:hint="eastAsia" w:ascii="Times New Roman" w:hAnsi="Times New Roman" w:cs="Times New Roman"/>
          <w:kern w:val="2"/>
          <w:sz w:val="30"/>
          <w:szCs w:val="30"/>
          <w:lang w:val="en-US" w:bidi="ar-SA"/>
        </w:rPr>
        <w:t>未被任意一省依据医药价格和招采信用评价制度评定为“中等”、“严重”或“特别严重”失信等级的企业优先</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2.</w:t>
      </w:r>
      <w:r>
        <w:rPr>
          <w:rFonts w:ascii="Times New Roman" w:hAnsi="Times New Roman" w:cs="Times New Roman"/>
          <w:kern w:val="2"/>
          <w:sz w:val="30"/>
          <w:szCs w:val="30"/>
          <w:lang w:val="en-US" w:bidi="ar-SA"/>
        </w:rPr>
        <w:t>2021年在联盟地区报量大的企业优先，多个规格的品种，报量合并计算（以联盟地区报送数据为依据）；</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3</w:t>
      </w:r>
      <w:r>
        <w:rPr>
          <w:rFonts w:ascii="Times New Roman" w:hAnsi="Times New Roman" w:cs="Times New Roman"/>
          <w:kern w:val="2"/>
          <w:sz w:val="30"/>
          <w:szCs w:val="30"/>
          <w:lang w:val="en-US" w:bidi="ar-SA"/>
        </w:rPr>
        <w:t>.2021年联盟地区报量省份数量多的企业优先（以联盟地区报送数据为依据）；</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.通过或视同通过药品监督管理</w:t>
      </w:r>
      <w:r>
        <w:rPr>
          <w:rFonts w:hint="eastAsia" w:ascii="Times New Roman" w:hAnsi="Times New Roman" w:cs="Times New Roman"/>
          <w:kern w:val="2"/>
          <w:sz w:val="30"/>
          <w:szCs w:val="30"/>
          <w:lang w:val="en-US" w:bidi="ar-SA"/>
        </w:rPr>
        <w:t>部门</w:t>
      </w:r>
      <w:r>
        <w:rPr>
          <w:rFonts w:ascii="Times New Roman" w:hAnsi="Times New Roman" w:cs="Times New Roman"/>
          <w:kern w:val="2"/>
          <w:sz w:val="30"/>
          <w:szCs w:val="30"/>
          <w:lang w:val="en-US" w:bidi="ar-SA"/>
        </w:rPr>
        <w:t>仿制药质量和疗效一致性评价时间在前的企业优先（以药品监督管理</w:t>
      </w:r>
      <w:r>
        <w:rPr>
          <w:rFonts w:hint="eastAsia" w:ascii="Times New Roman" w:hAnsi="Times New Roman" w:cs="Times New Roman"/>
          <w:kern w:val="2"/>
          <w:sz w:val="30"/>
          <w:szCs w:val="30"/>
          <w:lang w:val="en-US" w:bidi="ar-SA"/>
        </w:rPr>
        <w:t>部门</w:t>
      </w:r>
      <w:r>
        <w:rPr>
          <w:rFonts w:ascii="Times New Roman" w:hAnsi="Times New Roman" w:cs="Times New Roman"/>
          <w:kern w:val="2"/>
          <w:sz w:val="30"/>
          <w:szCs w:val="30"/>
          <w:lang w:val="en-US" w:bidi="ar-SA"/>
        </w:rPr>
        <w:t>批准日期为准）；</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5</w:t>
      </w:r>
      <w:r>
        <w:rPr>
          <w:rFonts w:ascii="Times New Roman" w:hAnsi="Times New Roman" w:cs="Times New Roman"/>
          <w:kern w:val="2"/>
          <w:sz w:val="30"/>
          <w:szCs w:val="30"/>
          <w:lang w:val="en-US" w:bidi="ar-SA"/>
        </w:rPr>
        <w:t>.原料药自产的企业优先（限指原料药和制剂生产企业为同一法人）。</w:t>
      </w:r>
    </w:p>
    <w:p>
      <w:pPr>
        <w:pStyle w:val="2"/>
        <w:spacing w:line="600" w:lineRule="exact"/>
        <w:ind w:firstLine="600" w:firstLineChars="200"/>
        <w:rPr>
          <w:rFonts w:hint="default" w:ascii="Times New Roman" w:hAnsi="Times New Roman" w:eastAsia="仿宋"/>
          <w:color w:val="auto"/>
          <w:sz w:val="30"/>
          <w:szCs w:val="30"/>
        </w:rPr>
      </w:pPr>
      <w:r>
        <w:rPr>
          <w:rFonts w:ascii="Times New Roman" w:hAnsi="Times New Roman" w:eastAsia="仿宋"/>
          <w:color w:val="auto"/>
          <w:sz w:val="30"/>
          <w:szCs w:val="30"/>
        </w:rPr>
        <w:t>6</w:t>
      </w:r>
      <w:r>
        <w:rPr>
          <w:rFonts w:hint="default" w:ascii="Times New Roman" w:hAnsi="Times New Roman" w:eastAsia="仿宋"/>
          <w:color w:val="auto"/>
          <w:sz w:val="30"/>
          <w:szCs w:val="30"/>
        </w:rPr>
        <w:t>.若按以上规则仍无法确定拟中选企业的，</w:t>
      </w:r>
      <w:r>
        <w:rPr>
          <w:rFonts w:ascii="Times New Roman" w:hAnsi="Times New Roman" w:eastAsia="仿宋"/>
          <w:color w:val="auto"/>
          <w:sz w:val="30"/>
          <w:szCs w:val="30"/>
        </w:rPr>
        <w:t>均获得拟中选资格</w:t>
      </w:r>
      <w:r>
        <w:rPr>
          <w:rFonts w:hint="default" w:ascii="Times New Roman" w:hAnsi="Times New Roman" w:eastAsia="仿宋"/>
          <w:color w:val="auto"/>
          <w:sz w:val="30"/>
          <w:szCs w:val="30"/>
        </w:rPr>
        <w:t>。</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hint="eastAsia" w:ascii="Times New Roman" w:hAnsi="Times New Roman" w:cs="Times New Roman"/>
          <w:b/>
          <w:bCs/>
          <w:kern w:val="2"/>
          <w:sz w:val="30"/>
          <w:szCs w:val="30"/>
          <w:lang w:val="en-US" w:bidi="ar-SA"/>
        </w:rPr>
        <w:t>（四）A/B采购单拟中选价格的确定规则</w:t>
      </w:r>
    </w:p>
    <w:p>
      <w:pPr>
        <w:pStyle w:val="2"/>
        <w:spacing w:line="600" w:lineRule="exact"/>
        <w:ind w:firstLine="600" w:firstLineChars="200"/>
        <w:rPr>
          <w:rFonts w:hint="default"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同一</w:t>
      </w:r>
      <w:r>
        <w:rPr>
          <w:rFonts w:hint="default" w:ascii="Times New Roman" w:hAnsi="Times New Roman" w:eastAsia="仿宋" w:cs="Times New Roman"/>
          <w:color w:val="auto"/>
          <w:kern w:val="2"/>
          <w:sz w:val="30"/>
          <w:szCs w:val="30"/>
          <w:lang w:val="en-US" w:eastAsia="zh-CN" w:bidi="ar-SA"/>
        </w:rPr>
        <w:t>申报企业明确的供应产品清单中，同品规过评A/B采购单拟中选价格不高于全国最低价格；同品规非过评B采购单拟中选价格不</w:t>
      </w:r>
      <w:r>
        <w:rPr>
          <w:rFonts w:hint="eastAsia" w:ascii="Times New Roman" w:hAnsi="Times New Roman" w:eastAsia="仿宋" w:cs="Times New Roman"/>
          <w:color w:val="auto"/>
          <w:kern w:val="2"/>
          <w:sz w:val="30"/>
          <w:szCs w:val="30"/>
          <w:lang w:val="en-US" w:eastAsia="zh-CN" w:bidi="ar-SA"/>
        </w:rPr>
        <w:t>高于全国最低价格（或经同品种规格差比后的价格）且低于过评A/B采购单的全国最低价格（或经同品种规格差比后的价格）。</w:t>
      </w:r>
    </w:p>
    <w:p>
      <w:pPr>
        <w:pStyle w:val="2"/>
        <w:spacing w:line="600" w:lineRule="exact"/>
        <w:ind w:firstLine="600" w:firstLineChars="200"/>
        <w:rPr>
          <w:rFonts w:hint="default"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全国最低价格取同企业供应产品清单中同品种规格经差比后的最低价格。同申报企业明确的供应产品清单中未填报原国家集采中选品规，但原中选企业同品种的其他规格在本次集团采购中获得拟中选资格的，其原国家集采中选价格仍纳入本企业全国最低价格计算范围。</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五</w:t>
      </w: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eastAsia="zh-CN" w:bidi="ar-SA"/>
        </w:rPr>
        <w:t>公布</w:t>
      </w:r>
      <w:r>
        <w:rPr>
          <w:rFonts w:ascii="Times New Roman" w:hAnsi="Times New Roman" w:cs="Times New Roman"/>
          <w:b/>
          <w:bCs/>
          <w:kern w:val="2"/>
          <w:sz w:val="30"/>
          <w:szCs w:val="30"/>
          <w:lang w:val="en-US" w:bidi="ar-SA"/>
        </w:rPr>
        <w:t>拟中选结果</w:t>
      </w:r>
    </w:p>
    <w:p>
      <w:pPr>
        <w:autoSpaceDE/>
        <w:autoSpaceDN/>
        <w:spacing w:line="600" w:lineRule="exact"/>
        <w:ind w:firstLine="600" w:firstLineChars="200"/>
        <w:jc w:val="both"/>
        <w:rPr>
          <w:rFonts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eastAsia="zh-CN" w:bidi="ar-SA"/>
        </w:rPr>
        <w:t>本次药品中选价格现场公布；中选产品和中选企业将</w:t>
      </w:r>
      <w:r>
        <w:rPr>
          <w:rFonts w:ascii="Times New Roman" w:hAnsi="Times New Roman" w:cs="Times New Roman"/>
          <w:color w:val="auto"/>
          <w:kern w:val="2"/>
          <w:sz w:val="30"/>
          <w:szCs w:val="30"/>
          <w:lang w:val="en-US" w:bidi="ar-SA"/>
        </w:rPr>
        <w:t>在省平台（www. gdmede.com.cn）公示并接受复核申请。复核申请应在公示期间内提出，并依法依规提供合法有效证明材料。未提供相应证明材料的，原则上不予受理。</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六</w:t>
      </w:r>
      <w:r>
        <w:rPr>
          <w:rFonts w:ascii="Times New Roman" w:hAnsi="Times New Roman" w:cs="Times New Roman"/>
          <w:b/>
          <w:bCs/>
          <w:kern w:val="2"/>
          <w:sz w:val="30"/>
          <w:szCs w:val="30"/>
          <w:lang w:val="en-US" w:bidi="ar-SA"/>
        </w:rPr>
        <w:t>）确认</w:t>
      </w:r>
      <w:r>
        <w:rPr>
          <w:rFonts w:hint="eastAsia" w:ascii="Times New Roman" w:hAnsi="Times New Roman" w:cs="Times New Roman"/>
          <w:b/>
          <w:bCs/>
          <w:kern w:val="2"/>
          <w:sz w:val="30"/>
          <w:szCs w:val="30"/>
          <w:lang w:val="en-US" w:bidi="ar-SA"/>
        </w:rPr>
        <w:t>待分配</w:t>
      </w:r>
      <w:r>
        <w:rPr>
          <w:rFonts w:ascii="Times New Roman" w:hAnsi="Times New Roman" w:cs="Times New Roman"/>
          <w:b/>
          <w:bCs/>
          <w:kern w:val="2"/>
          <w:sz w:val="30"/>
          <w:szCs w:val="30"/>
          <w:lang w:val="en-US" w:bidi="ar-SA"/>
        </w:rPr>
        <w:t>量</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1</w:t>
      </w: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待分配量是指：过评A/B采购单未中选企业联盟地区首年预采购总量以及非过评</w:t>
      </w:r>
      <w:r>
        <w:rPr>
          <w:rFonts w:ascii="Times New Roman" w:hAnsi="Times New Roman" w:cs="Times New Roman"/>
          <w:kern w:val="2"/>
          <w:sz w:val="30"/>
          <w:szCs w:val="30"/>
          <w:lang w:val="en-US" w:bidi="ar-SA"/>
        </w:rPr>
        <w:t>B采购单联盟地区首年预采购总量。</w:t>
      </w:r>
      <w:r>
        <w:rPr>
          <w:rFonts w:hint="eastAsia" w:ascii="Times New Roman" w:hAnsi="Times New Roman" w:cs="Times New Roman"/>
          <w:kern w:val="2"/>
          <w:sz w:val="30"/>
          <w:szCs w:val="30"/>
          <w:lang w:val="en-US" w:bidi="ar-SA"/>
        </w:rPr>
        <w:t>过评A采购单2家</w:t>
      </w:r>
      <w:r>
        <w:rPr>
          <w:rFonts w:hint="eastAsia" w:ascii="Times New Roman" w:hAnsi="Times New Roman" w:cs="Times New Roman"/>
          <w:kern w:val="2"/>
          <w:sz w:val="30"/>
          <w:szCs w:val="30"/>
          <w:lang w:val="en-US" w:eastAsia="zh-CN" w:bidi="ar-SA"/>
        </w:rPr>
        <w:t>（含本数）</w:t>
      </w:r>
      <w:r>
        <w:rPr>
          <w:rFonts w:hint="eastAsia" w:ascii="Times New Roman" w:hAnsi="Times New Roman" w:cs="Times New Roman"/>
          <w:kern w:val="2"/>
          <w:sz w:val="30"/>
          <w:szCs w:val="30"/>
          <w:lang w:val="en-US" w:bidi="ar-SA"/>
        </w:rPr>
        <w:t>以下的联盟地区首年预采购总量的</w:t>
      </w:r>
      <w:r>
        <w:rPr>
          <w:rFonts w:hint="eastAsia" w:ascii="Times New Roman" w:hAnsi="Times New Roman" w:cs="Times New Roman"/>
          <w:color w:val="auto"/>
          <w:kern w:val="2"/>
          <w:sz w:val="30"/>
          <w:szCs w:val="30"/>
          <w:lang w:val="en-US" w:eastAsia="zh-CN" w:bidi="ar-SA"/>
        </w:rPr>
        <w:t>？</w:t>
      </w:r>
      <w:r>
        <w:rPr>
          <w:rFonts w:hint="eastAsia" w:ascii="Times New Roman" w:hAnsi="Times New Roman" w:cs="Times New Roman"/>
          <w:kern w:val="2"/>
          <w:sz w:val="30"/>
          <w:szCs w:val="30"/>
          <w:lang w:val="en-US" w:bidi="ar-SA"/>
        </w:rPr>
        <w:t>%。</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2</w:t>
      </w:r>
      <w:r>
        <w:rPr>
          <w:rFonts w:ascii="Times New Roman" w:hAnsi="Times New Roman" w:cs="Times New Roman"/>
          <w:kern w:val="2"/>
          <w:sz w:val="30"/>
          <w:szCs w:val="30"/>
          <w:lang w:val="en-US" w:bidi="ar-SA"/>
        </w:rPr>
        <w:t>.获得</w:t>
      </w:r>
      <w:r>
        <w:rPr>
          <w:rFonts w:hint="eastAsia" w:ascii="Times New Roman" w:hAnsi="Times New Roman" w:cs="Times New Roman"/>
          <w:kern w:val="2"/>
          <w:sz w:val="30"/>
          <w:szCs w:val="30"/>
          <w:lang w:val="en-US" w:bidi="ar-SA"/>
        </w:rPr>
        <w:t>待分配量</w:t>
      </w:r>
      <w:r>
        <w:rPr>
          <w:rFonts w:ascii="Times New Roman" w:hAnsi="Times New Roman" w:cs="Times New Roman"/>
          <w:kern w:val="2"/>
          <w:sz w:val="30"/>
          <w:szCs w:val="30"/>
          <w:lang w:val="en-US" w:bidi="ar-SA"/>
        </w:rPr>
        <w:t>资格的是：</w:t>
      </w:r>
      <w:r>
        <w:rPr>
          <w:rFonts w:hint="eastAsia" w:ascii="Times New Roman" w:hAnsi="Times New Roman" w:cs="Times New Roman"/>
          <w:kern w:val="2"/>
          <w:sz w:val="30"/>
          <w:szCs w:val="30"/>
          <w:lang w:val="en-US" w:bidi="ar-SA"/>
        </w:rPr>
        <w:t>不同类别A/B采购单的</w:t>
      </w:r>
      <w:r>
        <w:rPr>
          <w:rFonts w:ascii="Times New Roman" w:hAnsi="Times New Roman" w:cs="Times New Roman"/>
          <w:kern w:val="2"/>
          <w:sz w:val="30"/>
          <w:szCs w:val="30"/>
          <w:lang w:val="en-US" w:bidi="ar-SA"/>
        </w:rPr>
        <w:t>拟中选产品</w:t>
      </w:r>
      <w:r>
        <w:rPr>
          <w:rFonts w:hint="eastAsia" w:ascii="Times New Roman" w:hAnsi="Times New Roman" w:cs="Times New Roman"/>
          <w:kern w:val="2"/>
          <w:sz w:val="30"/>
          <w:szCs w:val="30"/>
          <w:lang w:val="en-US" w:eastAsia="zh-CN" w:bidi="ar-SA"/>
        </w:rPr>
        <w:t>。过评</w:t>
      </w:r>
      <w:r>
        <w:rPr>
          <w:rFonts w:hint="eastAsia" w:ascii="Times New Roman" w:hAnsi="Times New Roman" w:cs="Times New Roman"/>
          <w:kern w:val="2"/>
          <w:sz w:val="30"/>
          <w:szCs w:val="30"/>
          <w:lang w:val="en-US" w:bidi="ar-SA"/>
        </w:rPr>
        <w:t>A采购单</w:t>
      </w:r>
      <w:r>
        <w:rPr>
          <w:rFonts w:hint="eastAsia" w:ascii="Times New Roman" w:hAnsi="Times New Roman" w:cs="Times New Roman"/>
          <w:kern w:val="2"/>
          <w:sz w:val="30"/>
          <w:szCs w:val="30"/>
          <w:lang w:val="en-US" w:eastAsia="zh-CN" w:bidi="ar-SA"/>
        </w:rPr>
        <w:t>仅有</w:t>
      </w:r>
      <w:r>
        <w:rPr>
          <w:rFonts w:hint="eastAsia" w:ascii="Times New Roman" w:hAnsi="Times New Roman" w:cs="Times New Roman"/>
          <w:kern w:val="2"/>
          <w:sz w:val="30"/>
          <w:szCs w:val="30"/>
          <w:lang w:val="en-US" w:bidi="ar-SA"/>
        </w:rPr>
        <w:t>2家（含</w:t>
      </w:r>
      <w:r>
        <w:rPr>
          <w:rFonts w:hint="eastAsia" w:ascii="Times New Roman" w:hAnsi="Times New Roman" w:cs="Times New Roman"/>
          <w:kern w:val="2"/>
          <w:sz w:val="30"/>
          <w:szCs w:val="30"/>
          <w:lang w:val="en-US" w:eastAsia="zh-CN" w:bidi="ar-SA"/>
        </w:rPr>
        <w:t>本数</w:t>
      </w:r>
      <w:r>
        <w:rPr>
          <w:rFonts w:hint="eastAsia" w:ascii="Times New Roman" w:hAnsi="Times New Roman" w:cs="Times New Roman"/>
          <w:kern w:val="2"/>
          <w:sz w:val="30"/>
          <w:szCs w:val="30"/>
          <w:lang w:val="en-US" w:bidi="ar-SA"/>
        </w:rPr>
        <w:t>）拟中选产品</w:t>
      </w:r>
      <w:r>
        <w:rPr>
          <w:rFonts w:hint="eastAsia" w:ascii="Times New Roman" w:hAnsi="Times New Roman" w:cs="Times New Roman"/>
          <w:kern w:val="2"/>
          <w:sz w:val="30"/>
          <w:szCs w:val="30"/>
          <w:lang w:val="en-US" w:eastAsia="zh-CN" w:bidi="ar-SA"/>
        </w:rPr>
        <w:t>的选择顺序：</w:t>
      </w:r>
      <w:r>
        <w:rPr>
          <w:rFonts w:hint="eastAsia" w:ascii="Times New Roman" w:hAnsi="Times New Roman" w:cs="Times New Roman"/>
          <w:kern w:val="2"/>
          <w:sz w:val="30"/>
          <w:szCs w:val="30"/>
          <w:lang w:val="en-US" w:bidi="ar-SA"/>
        </w:rPr>
        <w:t>先</w:t>
      </w:r>
      <w:r>
        <w:rPr>
          <w:rFonts w:hint="eastAsia" w:ascii="Times New Roman" w:hAnsi="Times New Roman" w:cs="Times New Roman"/>
          <w:kern w:val="2"/>
          <w:sz w:val="30"/>
          <w:szCs w:val="30"/>
          <w:lang w:val="en-US" w:eastAsia="zh-CN" w:bidi="ar-SA"/>
        </w:rPr>
        <w:t>选</w:t>
      </w:r>
      <w:r>
        <w:rPr>
          <w:rFonts w:hint="eastAsia" w:ascii="Times New Roman" w:hAnsi="Times New Roman" w:cs="Times New Roman"/>
          <w:kern w:val="2"/>
          <w:sz w:val="30"/>
          <w:szCs w:val="30"/>
          <w:lang w:val="en-US" w:bidi="ar-SA"/>
        </w:rPr>
        <w:t>第</w:t>
      </w:r>
      <w:r>
        <w:rPr>
          <w:rFonts w:hint="eastAsia" w:ascii="Times New Roman" w:hAnsi="Times New Roman" w:cs="Times New Roman"/>
          <w:kern w:val="2"/>
          <w:sz w:val="30"/>
          <w:szCs w:val="30"/>
          <w:lang w:val="en-US" w:eastAsia="zh-CN" w:bidi="ar-SA"/>
        </w:rPr>
        <w:t>2</w:t>
      </w:r>
      <w:r>
        <w:rPr>
          <w:rFonts w:hint="eastAsia" w:ascii="Times New Roman" w:hAnsi="Times New Roman" w:cs="Times New Roman"/>
          <w:kern w:val="2"/>
          <w:sz w:val="30"/>
          <w:szCs w:val="30"/>
          <w:lang w:val="en-US" w:bidi="ar-SA"/>
        </w:rPr>
        <w:t>梯级</w:t>
      </w:r>
      <w:r>
        <w:rPr>
          <w:rFonts w:hint="eastAsia" w:ascii="Times New Roman" w:hAnsi="Times New Roman" w:cs="Times New Roman"/>
          <w:kern w:val="2"/>
          <w:sz w:val="30"/>
          <w:szCs w:val="30"/>
          <w:lang w:val="en-US" w:eastAsia="zh-CN" w:bidi="ar-SA"/>
        </w:rPr>
        <w:t>价格低；若第2梯级价格相同的，选</w:t>
      </w:r>
      <w:r>
        <w:rPr>
          <w:rFonts w:hint="eastAsia" w:ascii="Times New Roman" w:hAnsi="Times New Roman" w:cs="Times New Roman"/>
          <w:kern w:val="2"/>
          <w:sz w:val="30"/>
          <w:szCs w:val="30"/>
          <w:lang w:val="en-US" w:bidi="ar-SA"/>
        </w:rPr>
        <w:t>第</w:t>
      </w:r>
      <w:r>
        <w:rPr>
          <w:rFonts w:hint="eastAsia" w:ascii="Times New Roman" w:hAnsi="Times New Roman" w:cs="Times New Roman"/>
          <w:kern w:val="2"/>
          <w:sz w:val="30"/>
          <w:szCs w:val="30"/>
          <w:lang w:val="en-US" w:eastAsia="zh-CN" w:bidi="ar-SA"/>
        </w:rPr>
        <w:t>1</w:t>
      </w:r>
      <w:r>
        <w:rPr>
          <w:rFonts w:hint="eastAsia" w:ascii="Times New Roman" w:hAnsi="Times New Roman" w:cs="Times New Roman"/>
          <w:kern w:val="2"/>
          <w:sz w:val="30"/>
          <w:szCs w:val="30"/>
          <w:lang w:val="en-US" w:bidi="ar-SA"/>
        </w:rPr>
        <w:t>梯级价格低的</w:t>
      </w:r>
      <w:r>
        <w:rPr>
          <w:rFonts w:hint="eastAsia" w:ascii="Times New Roman" w:hAnsi="Times New Roman" w:cs="Times New Roman"/>
          <w:kern w:val="2"/>
          <w:sz w:val="30"/>
          <w:szCs w:val="30"/>
          <w:lang w:val="en-US" w:eastAsia="zh-CN" w:bidi="ar-SA"/>
        </w:rPr>
        <w:t>；若第1和2梯级价格均</w:t>
      </w:r>
      <w:r>
        <w:rPr>
          <w:rFonts w:hint="eastAsia" w:ascii="Times New Roman" w:hAnsi="Times New Roman" w:cs="Times New Roman"/>
          <w:kern w:val="2"/>
          <w:sz w:val="30"/>
          <w:szCs w:val="30"/>
          <w:lang w:val="en-US" w:bidi="ar-SA"/>
        </w:rPr>
        <w:t>相同的</w:t>
      </w:r>
      <w:r>
        <w:rPr>
          <w:rFonts w:hint="eastAsia" w:ascii="Times New Roman" w:hAnsi="Times New Roman" w:cs="Times New Roman"/>
          <w:kern w:val="2"/>
          <w:sz w:val="30"/>
          <w:szCs w:val="30"/>
          <w:lang w:val="en-US" w:eastAsia="zh-CN" w:bidi="ar-SA"/>
        </w:rPr>
        <w:t>则均获得</w:t>
      </w:r>
      <w:r>
        <w:rPr>
          <w:rFonts w:hint="eastAsia" w:ascii="Times New Roman" w:hAnsi="Times New Roman" w:cs="Times New Roman"/>
          <w:kern w:val="2"/>
          <w:sz w:val="30"/>
          <w:szCs w:val="30"/>
          <w:lang w:val="en-US" w:bidi="ar-SA"/>
        </w:rPr>
        <w:t>。</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3.省内医疗机构仅对</w:t>
      </w:r>
      <w:r>
        <w:rPr>
          <w:rFonts w:hint="eastAsia" w:ascii="Times New Roman" w:hAnsi="Times New Roman" w:cs="Times New Roman"/>
          <w:kern w:val="2"/>
          <w:sz w:val="30"/>
          <w:szCs w:val="30"/>
          <w:lang w:val="en-US" w:bidi="ar-SA"/>
        </w:rPr>
        <w:t>待分配量</w:t>
      </w:r>
      <w:r>
        <w:rPr>
          <w:rFonts w:ascii="Times New Roman" w:hAnsi="Times New Roman" w:cs="Times New Roman"/>
          <w:kern w:val="2"/>
          <w:sz w:val="30"/>
          <w:szCs w:val="30"/>
          <w:lang w:val="en-US" w:bidi="ar-SA"/>
        </w:rPr>
        <w:t>进行调整并确认。联盟地区相关省的医疗机构按上述规定调整确认</w:t>
      </w:r>
      <w:r>
        <w:rPr>
          <w:rFonts w:hint="eastAsia" w:ascii="Times New Roman" w:hAnsi="Times New Roman" w:cs="Times New Roman"/>
          <w:kern w:val="2"/>
          <w:sz w:val="30"/>
          <w:szCs w:val="30"/>
          <w:lang w:val="en-US" w:bidi="ar-SA"/>
        </w:rPr>
        <w:t>待分配量</w:t>
      </w:r>
      <w:r>
        <w:rPr>
          <w:rFonts w:ascii="Times New Roman" w:hAnsi="Times New Roman" w:cs="Times New Roman"/>
          <w:kern w:val="2"/>
          <w:sz w:val="30"/>
          <w:szCs w:val="30"/>
          <w:lang w:val="en-US" w:bidi="ar-SA"/>
        </w:rPr>
        <w:t>，亦可在省平台上操作，并报本省医疗保障局审核盖章后上传广东省平台。</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七</w:t>
      </w: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确认</w:t>
      </w:r>
      <w:r>
        <w:rPr>
          <w:rFonts w:ascii="Times New Roman" w:hAnsi="Times New Roman" w:cs="Times New Roman"/>
          <w:b/>
          <w:bCs/>
          <w:kern w:val="2"/>
          <w:sz w:val="30"/>
          <w:szCs w:val="30"/>
          <w:lang w:val="en-US" w:bidi="ar-SA"/>
        </w:rPr>
        <w:t>预采购量</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过评A/B采购单拟中选产品获得对应企业采购需求量的</w:t>
      </w:r>
      <w:r>
        <w:rPr>
          <w:rFonts w:hint="eastAsia" w:ascii="Times New Roman" w:hAnsi="Times New Roman" w:cs="Times New Roman"/>
          <w:kern w:val="2"/>
          <w:sz w:val="30"/>
          <w:szCs w:val="30"/>
          <w:lang w:val="en-US" w:eastAsia="zh-CN" w:bidi="ar-SA"/>
        </w:rPr>
        <w:t>？%或</w:t>
      </w:r>
      <w:r>
        <w:rPr>
          <w:rFonts w:hint="eastAsia" w:ascii="Times New Roman" w:hAnsi="Times New Roman" w:cs="Times New Roman"/>
          <w:kern w:val="2"/>
          <w:sz w:val="30"/>
          <w:szCs w:val="30"/>
          <w:lang w:val="en-US" w:bidi="ar-SA"/>
        </w:rPr>
        <w:t>100%以及确认的分配量；非过评B采购单拟中选产品获得确认的分配量。</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八</w:t>
      </w:r>
      <w:r>
        <w:rPr>
          <w:rFonts w:ascii="Times New Roman" w:hAnsi="Times New Roman" w:cs="Times New Roman"/>
          <w:b/>
          <w:bCs/>
          <w:kern w:val="2"/>
          <w:sz w:val="30"/>
          <w:szCs w:val="30"/>
          <w:lang w:val="en-US" w:bidi="ar-SA"/>
        </w:rPr>
        <w:t>）确定中选结果</w:t>
      </w:r>
    </w:p>
    <w:p>
      <w:pPr>
        <w:autoSpaceDE/>
        <w:autoSpaceDN/>
        <w:spacing w:line="600" w:lineRule="exact"/>
        <w:ind w:firstLine="600" w:firstLineChars="200"/>
        <w:jc w:val="both"/>
        <w:rPr>
          <w:rFonts w:hint="default" w:ascii="Times New Roman" w:hAnsi="Times New Roman" w:cs="Times New Roman"/>
          <w:kern w:val="2"/>
          <w:sz w:val="30"/>
          <w:szCs w:val="30"/>
          <w:lang w:val="en-US" w:eastAsia="zh-CN" w:bidi="ar-SA"/>
        </w:rPr>
      </w:pPr>
      <w:bookmarkStart w:id="35" w:name="_Toc18277"/>
      <w:bookmarkStart w:id="36" w:name="_Toc57277301"/>
      <w:r>
        <w:rPr>
          <w:rFonts w:ascii="Times New Roman" w:hAnsi="Times New Roman" w:cs="Times New Roman"/>
          <w:kern w:val="2"/>
          <w:sz w:val="30"/>
          <w:szCs w:val="30"/>
          <w:lang w:val="en-US" w:bidi="ar-SA"/>
        </w:rPr>
        <w:t>依据医疗机构确认的最终报量</w:t>
      </w:r>
      <w:r>
        <w:rPr>
          <w:rFonts w:hint="eastAsia" w:ascii="Times New Roman" w:hAnsi="Times New Roman" w:cs="Times New Roman"/>
          <w:kern w:val="2"/>
          <w:sz w:val="30"/>
          <w:szCs w:val="30"/>
          <w:lang w:val="en-US" w:bidi="ar-SA"/>
        </w:rPr>
        <w:t>作为拟中选产品对应的首年预采购量。A、B采购单的所有拟中选产品以及对应的首年预采购量为本次集团采购的中选结果。</w:t>
      </w:r>
      <w:r>
        <w:rPr>
          <w:rFonts w:hint="eastAsia" w:ascii="Times New Roman" w:hAnsi="Times New Roman" w:cs="Times New Roman"/>
          <w:kern w:val="2"/>
          <w:sz w:val="30"/>
          <w:szCs w:val="30"/>
          <w:lang w:val="en-US" w:eastAsia="zh-CN" w:bidi="ar-SA"/>
        </w:rPr>
        <w:t>当确认后的最终报量超过本企业首年预采购量的？%或100%的，其中选价格按照本企业第2梯级报价与第五条拟中选产品确定第（四）项A/B采购单拟中选价格的确定规则对比确定后的价格执行。</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省药交中心将发布中选通知。并以公证书的方式递交联盟地区的省级医疗保障局。</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hint="eastAsia" w:ascii="Times New Roman" w:hAnsi="Times New Roman" w:cs="Times New Roman"/>
          <w:b/>
          <w:bCs/>
          <w:kern w:val="2"/>
          <w:sz w:val="30"/>
          <w:szCs w:val="30"/>
          <w:lang w:val="en-US" w:bidi="ar-SA"/>
        </w:rPr>
        <w:t>（九）增量</w:t>
      </w:r>
      <w:r>
        <w:rPr>
          <w:rFonts w:hint="eastAsia" w:ascii="Times New Roman" w:hAnsi="Times New Roman" w:cs="Times New Roman"/>
          <w:b/>
          <w:bCs/>
          <w:kern w:val="2"/>
          <w:sz w:val="30"/>
          <w:szCs w:val="30"/>
          <w:lang w:val="en-US" w:eastAsia="zh-CN" w:bidi="ar-SA"/>
        </w:rPr>
        <w:t>采购使用</w:t>
      </w:r>
      <w:r>
        <w:rPr>
          <w:rFonts w:hint="eastAsia" w:ascii="Times New Roman" w:hAnsi="Times New Roman" w:cs="Times New Roman"/>
          <w:b/>
          <w:bCs/>
          <w:kern w:val="2"/>
          <w:sz w:val="30"/>
          <w:szCs w:val="30"/>
          <w:lang w:val="en-US" w:bidi="ar-SA"/>
        </w:rPr>
        <w:t>约定</w:t>
      </w:r>
    </w:p>
    <w:p>
      <w:pPr>
        <w:pStyle w:val="2"/>
        <w:spacing w:line="600" w:lineRule="exact"/>
        <w:ind w:firstLine="600" w:firstLineChars="200"/>
        <w:rPr>
          <w:rFonts w:hint="default" w:ascii="Times New Roman" w:hAnsi="Times New Roman" w:eastAsia="仿宋"/>
          <w:color w:val="auto"/>
          <w:kern w:val="2"/>
          <w:sz w:val="30"/>
          <w:szCs w:val="30"/>
        </w:rPr>
      </w:pPr>
      <w:r>
        <w:rPr>
          <w:rFonts w:ascii="Times New Roman" w:hAnsi="Times New Roman" w:eastAsia="仿宋"/>
          <w:color w:val="auto"/>
          <w:kern w:val="2"/>
          <w:sz w:val="30"/>
          <w:szCs w:val="30"/>
        </w:rPr>
        <w:t>在采购年度内，医疗机构增量的使用原则上优先使用中选产品，使用比例不低于增量的80%。</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六、</w:t>
      </w:r>
      <w:bookmarkEnd w:id="35"/>
      <w:r>
        <w:rPr>
          <w:rFonts w:hint="eastAsia" w:ascii="黑体" w:hAnsi="黑体" w:eastAsia="黑体" w:cs="黑体"/>
          <w:kern w:val="2"/>
          <w:sz w:val="30"/>
          <w:szCs w:val="30"/>
          <w:lang w:val="en-US" w:bidi="ar-SA"/>
        </w:rPr>
        <w:t>采购协议</w:t>
      </w:r>
      <w:bookmarkEnd w:id="36"/>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1.省药交中心发布中选通知后，按照中选企业及其中选价格在省平台上完成挂网工作，省内交易各方签订采购协议（</w:t>
      </w:r>
      <w:r>
        <w:rPr>
          <w:rFonts w:ascii="Times New Roman" w:hAnsi="Times New Roman" w:cs="Times New Roman"/>
          <w:kern w:val="2"/>
          <w:sz w:val="30"/>
          <w:szCs w:val="30"/>
          <w:lang w:val="en-US" w:bidi="ar-SA"/>
        </w:rPr>
        <w:t>附件2）并执行。</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2</w:t>
      </w:r>
      <w:r>
        <w:rPr>
          <w:rFonts w:ascii="Times New Roman" w:hAnsi="Times New Roman" w:cs="Times New Roman"/>
          <w:kern w:val="2"/>
          <w:sz w:val="30"/>
          <w:szCs w:val="30"/>
          <w:lang w:val="en-US" w:bidi="ar-SA"/>
        </w:rPr>
        <w:t>.联盟地区省医疗保障部门</w:t>
      </w:r>
      <w:r>
        <w:rPr>
          <w:rFonts w:hint="eastAsia" w:ascii="Times New Roman" w:hAnsi="Times New Roman" w:cs="Times New Roman"/>
          <w:kern w:val="2"/>
          <w:sz w:val="30"/>
          <w:szCs w:val="30"/>
          <w:lang w:val="en-US" w:eastAsia="zh-CN" w:bidi="ar-SA"/>
        </w:rPr>
        <w:t>自行确定本次中选结果，并</w:t>
      </w:r>
      <w:r>
        <w:rPr>
          <w:rFonts w:ascii="Times New Roman" w:hAnsi="Times New Roman" w:cs="Times New Roman"/>
          <w:kern w:val="2"/>
          <w:sz w:val="30"/>
          <w:szCs w:val="30"/>
          <w:lang w:val="en-US" w:bidi="ar-SA"/>
        </w:rPr>
        <w:t>组织签订采购协议。</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3</w:t>
      </w:r>
      <w:r>
        <w:rPr>
          <w:rFonts w:ascii="Times New Roman" w:hAnsi="Times New Roman" w:cs="Times New Roman"/>
          <w:kern w:val="2"/>
          <w:sz w:val="30"/>
          <w:szCs w:val="30"/>
          <w:lang w:val="en-US" w:bidi="ar-SA"/>
        </w:rPr>
        <w:t>.采购协议签订后，采购方与中选企业不得再订立背离采购协议实质性内容的其他协议，或提出除采购协议之外的任何利益性要求。</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七、其他</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（一）</w:t>
      </w:r>
      <w:r>
        <w:rPr>
          <w:rFonts w:ascii="Times New Roman" w:hAnsi="Times New Roman" w:cs="Times New Roman"/>
          <w:kern w:val="2"/>
          <w:sz w:val="30"/>
          <w:szCs w:val="30"/>
          <w:lang w:val="en-US" w:bidi="ar-SA"/>
        </w:rPr>
        <w:t>本次参与联盟地区集团采购的省医疗机构确认待分配量工作，原则上2021年</w:t>
      </w:r>
      <w:r>
        <w:rPr>
          <w:rFonts w:hint="eastAsia" w:ascii="Times New Roman" w:hAnsi="Times New Roman" w:cs="Times New Roman"/>
          <w:kern w:val="2"/>
          <w:sz w:val="30"/>
          <w:szCs w:val="30"/>
          <w:lang w:val="en-US" w:bidi="ar-SA"/>
        </w:rPr>
        <w:t>*</w:t>
      </w:r>
      <w:r>
        <w:rPr>
          <w:rFonts w:ascii="Times New Roman" w:hAnsi="Times New Roman" w:cs="Times New Roman"/>
          <w:kern w:val="2"/>
          <w:sz w:val="30"/>
          <w:szCs w:val="30"/>
          <w:lang w:val="en-US" w:bidi="ar-SA"/>
        </w:rPr>
        <w:t>月</w:t>
      </w:r>
      <w:r>
        <w:rPr>
          <w:rFonts w:hint="eastAsia" w:ascii="Times New Roman" w:hAnsi="Times New Roman" w:cs="Times New Roman"/>
          <w:kern w:val="2"/>
          <w:sz w:val="30"/>
          <w:szCs w:val="30"/>
          <w:lang w:val="en-US" w:bidi="ar-SA"/>
        </w:rPr>
        <w:t>*</w:t>
      </w:r>
      <w:r>
        <w:rPr>
          <w:rFonts w:ascii="Times New Roman" w:hAnsi="Times New Roman" w:cs="Times New Roman"/>
          <w:kern w:val="2"/>
          <w:sz w:val="30"/>
          <w:szCs w:val="30"/>
          <w:lang w:val="en-US" w:bidi="ar-SA"/>
        </w:rPr>
        <w:t>日前完成后上传广东省平台。</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（二）本次药品集团带量采购未中选产品的挂网采购按照《广东省第三方药品电子交易平台关于实施药品挂网采购的公告》要求执行。</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在采购周期内，若国家和省有新规定的，从其规定。</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三</w:t>
      </w:r>
      <w:r>
        <w:rPr>
          <w:rFonts w:ascii="Times New Roman" w:hAnsi="Times New Roman" w:cs="Times New Roman"/>
          <w:kern w:val="2"/>
          <w:sz w:val="30"/>
          <w:szCs w:val="30"/>
          <w:lang w:val="en-US" w:bidi="ar-SA"/>
        </w:rPr>
        <w:t>）其他事项</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1.中选品种出现被药品监督管理部门暂停生产、销售、使用、进口等情况，取消中选资格。</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2.中选企业出现中选品种无法供应或取消中选资格等情况， 致使协议无法继续履行时，由医疗机构在中选产品中自主选择替补供应企业，由替补企业按替补企业中选价进行供应，因保障供应产生的额外支出由无法履行协议的企业承担。</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三</w:t>
      </w:r>
      <w:r>
        <w:rPr>
          <w:rFonts w:ascii="Times New Roman" w:hAnsi="Times New Roman" w:cs="Times New Roman"/>
          <w:kern w:val="2"/>
          <w:sz w:val="30"/>
          <w:szCs w:val="30"/>
          <w:lang w:val="en-US" w:bidi="ar-SA"/>
        </w:rPr>
        <w:t>）本采购文件仅适用于本次药品集团带量采购所述项目的药品及相关服务，最终解释权归省药交中心。</w:t>
      </w:r>
    </w:p>
    <w:p>
      <w:pPr>
        <w:rPr>
          <w:sz w:val="32"/>
          <w:szCs w:val="32"/>
          <w:lang w:val="en-US"/>
        </w:rPr>
      </w:pPr>
      <w:r>
        <w:rPr>
          <w:rFonts w:ascii="Times New Roman" w:hAnsi="Times New Roman" w:cs="Times New Roman"/>
          <w:kern w:val="2"/>
          <w:sz w:val="30"/>
          <w:szCs w:val="30"/>
          <w:lang w:val="en-US" w:bidi="ar-SA"/>
        </w:rPr>
        <w:br w:type="page"/>
      </w:r>
      <w:r>
        <w:rPr>
          <w:rFonts w:hint="eastAsia" w:ascii="Times New Roman" w:hAnsi="Times New Roman" w:cs="Times New Roman"/>
          <w:kern w:val="2"/>
          <w:sz w:val="30"/>
          <w:szCs w:val="30"/>
          <w:lang w:val="en-US" w:bidi="ar-SA"/>
        </w:rPr>
        <w:t xml:space="preserve"> </w:t>
      </w:r>
      <w:bookmarkStart w:id="37" w:name="_Toc57277304"/>
      <w:bookmarkStart w:id="38" w:name="_Toc6023"/>
      <w:bookmarkStart w:id="39" w:name="_Toc17748598"/>
      <w:r>
        <w:rPr>
          <w:rFonts w:hint="eastAsia"/>
          <w:sz w:val="32"/>
          <w:szCs w:val="32"/>
          <w:lang w:val="en-US"/>
        </w:rPr>
        <w:t>附件1：</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医药企业价格和营销行为信用承诺</w:t>
      </w:r>
      <w:bookmarkEnd w:id="37"/>
      <w:r>
        <w:rPr>
          <w:rFonts w:hint="eastAsia" w:ascii="华文中宋" w:hAnsi="华文中宋" w:eastAsia="华文中宋" w:cs="华文中宋"/>
          <w:sz w:val="44"/>
          <w:szCs w:val="44"/>
        </w:rPr>
        <w:t>书</w:t>
      </w:r>
    </w:p>
    <w:p>
      <w:pPr>
        <w:spacing w:line="540" w:lineRule="exact"/>
        <w:rPr>
          <w:rFonts w:ascii="Times New Roman" w:hAnsi="Times New Roman" w:cs="Times New Roman"/>
          <w:sz w:val="32"/>
          <w:szCs w:val="32"/>
        </w:rPr>
      </w:pPr>
    </w:p>
    <w:p>
      <w:pPr>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广东省药品交易中心：</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lang w:val="en-US"/>
        </w:rPr>
        <w:t xml:space="preserve">                    </w:t>
      </w:r>
      <w:r>
        <w:rPr>
          <w:rFonts w:ascii="Times New Roman" w:hAnsi="Times New Roman" w:eastAsia="仿宋_GB2312" w:cs="Times New Roman"/>
          <w:sz w:val="32"/>
          <w:szCs w:val="32"/>
          <w:lang w:val="en-US"/>
        </w:rPr>
        <w:t>（×××公司），在</w:t>
      </w:r>
      <w:r>
        <w:rPr>
          <w:rFonts w:ascii="Times New Roman" w:hAnsi="Times New Roman" w:eastAsia="仿宋_GB2312" w:cs="Times New Roman"/>
          <w:sz w:val="32"/>
          <w:szCs w:val="32"/>
        </w:rPr>
        <w:t>充分理解</w:t>
      </w:r>
      <w:r>
        <w:rPr>
          <w:rFonts w:ascii="Times New Roman" w:hAnsi="Times New Roman" w:eastAsia="仿宋_GB2312" w:cs="Times New Roman"/>
          <w:sz w:val="32"/>
          <w:szCs w:val="32"/>
          <w:lang w:val="en-US"/>
        </w:rPr>
        <w:t>阿莫西林等45个药品联盟地区集团带量采购文件</w:t>
      </w:r>
      <w:r>
        <w:rPr>
          <w:rFonts w:ascii="Times New Roman" w:hAnsi="Times New Roman" w:eastAsia="仿宋_GB2312" w:cs="Times New Roman"/>
          <w:sz w:val="32"/>
          <w:szCs w:val="32"/>
        </w:rPr>
        <w:t>（编号：GDYJYPDL20210</w:t>
      </w:r>
      <w:r>
        <w:rPr>
          <w:rFonts w:hint="eastAsia" w:ascii="Times New Roman" w:hAnsi="Times New Roman" w:eastAsia="仿宋_GB2312" w:cs="Times New Roman"/>
          <w:sz w:val="32"/>
          <w:szCs w:val="32"/>
          <w:lang w:val="en-US"/>
        </w:rPr>
        <w:t>2</w:t>
      </w:r>
      <w:r>
        <w:rPr>
          <w:rFonts w:ascii="Times New Roman" w:hAnsi="Times New Roman" w:eastAsia="仿宋_GB2312" w:cs="Times New Roman"/>
          <w:sz w:val="32"/>
          <w:szCs w:val="32"/>
        </w:rPr>
        <w:t>）后，决定按照采购文件的规定参与申报。我方保证申报的价格及其他相关证明材料的真实性、合法性、有效性。</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我方已充分考虑原材料价格等因素并承诺申报价不低于本企业该品种成本价。我方完全理解及遵守采购文件中的中选</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确认规则，理解贵方不一定要接受最低申报价的申报，所有分组不一定有中选结果。</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我方就参与本次</w:t>
      </w:r>
      <w:r>
        <w:rPr>
          <w:rFonts w:ascii="Times New Roman" w:hAnsi="Times New Roman" w:eastAsia="仿宋_GB2312" w:cs="Times New Roman"/>
          <w:sz w:val="32"/>
          <w:szCs w:val="32"/>
          <w:lang w:val="en-US"/>
        </w:rPr>
        <w:t>联盟地区药品</w:t>
      </w:r>
      <w:r>
        <w:rPr>
          <w:rFonts w:ascii="Times New Roman" w:hAnsi="Times New Roman" w:eastAsia="仿宋_GB2312" w:cs="Times New Roman"/>
          <w:sz w:val="32"/>
          <w:szCs w:val="32"/>
        </w:rPr>
        <w:t>集团带量采购，郑重做出以下承诺：</w:t>
      </w:r>
    </w:p>
    <w:p>
      <w:pPr>
        <w:spacing w:line="560" w:lineRule="exact"/>
        <w:ind w:firstLine="600"/>
        <w:jc w:val="both"/>
        <w:rPr>
          <w:rFonts w:ascii="黑体" w:hAnsi="黑体" w:eastAsia="黑体" w:cs="黑体"/>
          <w:sz w:val="32"/>
          <w:szCs w:val="32"/>
        </w:rPr>
      </w:pPr>
      <w:r>
        <w:rPr>
          <w:rFonts w:hint="eastAsia" w:ascii="黑体" w:hAnsi="黑体" w:eastAsia="黑体" w:cs="黑体"/>
          <w:sz w:val="32"/>
          <w:szCs w:val="32"/>
        </w:rPr>
        <w:t>一、严守法纪、恪守诚信</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（一）我方承诺，自觉遵守《民法典》《合同法》《价格法》《药品管理法》《反不正当竞争法》《反垄断法》等法律法规，医药价格和招标采购的政策，以及</w:t>
      </w:r>
      <w:r>
        <w:rPr>
          <w:rFonts w:ascii="Times New Roman" w:hAnsi="Times New Roman" w:eastAsia="仿宋_GB2312" w:cs="Times New Roman"/>
          <w:sz w:val="32"/>
          <w:szCs w:val="32"/>
          <w:lang w:val="en-US"/>
        </w:rPr>
        <w:t>联盟地区药品集团带量采购</w:t>
      </w:r>
      <w:r>
        <w:rPr>
          <w:rFonts w:ascii="Times New Roman" w:hAnsi="Times New Roman" w:eastAsia="仿宋_GB2312" w:cs="Times New Roman"/>
          <w:sz w:val="32"/>
          <w:szCs w:val="32"/>
        </w:rPr>
        <w:t>之规定，诚信经营，共同营造公平的交易环境。</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（二）我方承诺，不向采购我方药品的医疗机构管理人员、采购人员、医师、药师等有关人员给予回扣或其他不正当利益。</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（三）我方承诺，不实施虚开虚受增值税发票及其他形式虚构服务套现洗钱行为。</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（四）我方承诺，不利用</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垄断地位或市场支配地位，操纵</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价格和供应牟取暴利。不针对不同群体、不同渠道制定实施明显不合理的差异化定价。</w:t>
      </w:r>
    </w:p>
    <w:p>
      <w:pPr>
        <w:spacing w:line="560" w:lineRule="exact"/>
        <w:ind w:firstLine="600"/>
        <w:jc w:val="both"/>
        <w:rPr>
          <w:rFonts w:ascii="黑体" w:hAnsi="黑体" w:eastAsia="黑体" w:cs="黑体"/>
          <w:sz w:val="32"/>
          <w:szCs w:val="32"/>
        </w:rPr>
      </w:pPr>
      <w:r>
        <w:rPr>
          <w:rFonts w:ascii="黑体" w:hAnsi="黑体" w:eastAsia="黑体" w:cs="黑体"/>
          <w:sz w:val="32"/>
          <w:szCs w:val="32"/>
        </w:rPr>
        <w:t>二、履行合同、配合监管</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（一）我方承诺，具有履行协议必须具备的</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供应能力，除我方不可抗的因素造成供应困难外，保证在采购周期按照中选价格及时足量供应</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，满足临床需求。</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价格的，我方承诺在上述情形终止后，及时纠正价格。</w:t>
      </w:r>
    </w:p>
    <w:p>
      <w:pPr>
        <w:autoSpaceDE/>
        <w:autoSpaceDN/>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（三）我方承诺，及时、全面、完整、规范申报失信信息，不漏报，不瞒报，不推诿。</w:t>
      </w:r>
    </w:p>
    <w:p>
      <w:pPr>
        <w:spacing w:line="560" w:lineRule="exact"/>
        <w:ind w:firstLine="600"/>
        <w:jc w:val="both"/>
        <w:rPr>
          <w:rFonts w:ascii="黑体" w:hAnsi="黑体" w:eastAsia="黑体" w:cs="黑体"/>
          <w:sz w:val="32"/>
          <w:szCs w:val="32"/>
        </w:rPr>
      </w:pPr>
      <w:r>
        <w:rPr>
          <w:rFonts w:ascii="黑体" w:hAnsi="黑体" w:eastAsia="黑体" w:cs="黑体"/>
          <w:sz w:val="32"/>
          <w:szCs w:val="32"/>
        </w:rPr>
        <w:t>三、违约担责、接受处置</w:t>
      </w:r>
    </w:p>
    <w:p>
      <w:pPr>
        <w:autoSpaceDE/>
        <w:autoSpaceDN/>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（一）我方承诺，如我方药品购销中存在违背已承诺事项的，我方愿意接受集中采购机构作出的信用评级结果以及结合信用等级实施的处置措施。</w:t>
      </w:r>
    </w:p>
    <w:p>
      <w:pPr>
        <w:autoSpaceDE/>
        <w:autoSpaceDN/>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（二）我方承诺，严格管理员工（含雇佣关系，以及劳务派遣、购买服务、委托代理等关系），在法律法规允许的范围内从事经营活动。如果我方员工在我方</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购销中因给予回扣或其他不正当利益的行为，受到司法机关、行政执法机关惩处，我方承诺承担失信违约责任，接受集中采购机构作出的信用评级结果以及结合信用等级实施的处置措施。</w:t>
      </w:r>
    </w:p>
    <w:p>
      <w:pPr>
        <w:autoSpaceDE/>
        <w:autoSpaceDN/>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（三）我方承诺，严格约束委托代理人（具有委托代理关系的法人和自然人）在法律允许的范围内从事经营活动。如果受我方委托代理人，因涉及我方</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的回扣等医药商业贿赂行为，受到司法机</w:t>
      </w:r>
      <w:r>
        <w:rPr>
          <w:rFonts w:ascii="Times New Roman" w:hAnsi="Times New Roman" w:eastAsia="仿宋_GB2312" w:cs="Times New Roman"/>
          <w:color w:val="000000" w:themeColor="text1"/>
          <w:sz w:val="32"/>
          <w:szCs w:val="32"/>
          <w14:textFill>
            <w14:solidFill>
              <w14:schemeClr w14:val="tx1"/>
            </w14:solidFill>
          </w14:textFill>
        </w:rPr>
        <w:t>关、行政执法机关惩处，我方承诺承担失信违约责任，接受集中采购机构作出的信用评级结果以及结合信用等级实施的处置措施。</w:t>
      </w:r>
    </w:p>
    <w:p>
      <w:pPr>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（四）我方承诺，主动维护良好信用，必要时采取切实措施修复信用。</w:t>
      </w:r>
    </w:p>
    <w:p>
      <w:pPr>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（五）我方承诺，药品不侵犯其他第三方合法权利，在申报、采购周期内， 如相关司法文书确定我方或我方所申报之药品侵犯第三方权利，或者司法文书对我方药品采取包括不限于禁止销售等保全措施的，我方同意在获悉上述情形后1日内主动暂停相关药品在采购平台的挂网交易，或由采购平台直接暂停挂网交易。相应产生的法律责任（包括不限于侵犯第三方权利的赔偿、无法履行采购协议的责任等）和损失均由我方自行承担。</w:t>
      </w:r>
    </w:p>
    <w:p>
      <w:pPr>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我方承诺，在申报、采购周期内均持有药品的完整代理资格，如代理资格终止，同意贵中心取消我方作为本次采购申报企业或中选企业的资格并取消以我方名义在平台挂网交易中选药品之资格。相应产生的法律责任（包括不限于无法履行采购协议的责任等）和损失均由我方自行承担。</w:t>
      </w:r>
    </w:p>
    <w:p>
      <w:pPr>
        <w:autoSpaceDE/>
        <w:autoSpaceDN/>
        <w:spacing w:line="56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p>
    <w:p>
      <w:pPr>
        <w:pStyle w:val="2"/>
        <w:spacing w:line="560" w:lineRule="exact"/>
        <w:rPr>
          <w:rFonts w:hint="default" w:ascii="Times New Roman" w:hAnsi="Times New Roman" w:eastAsia="仿宋_GB2312"/>
          <w:color w:val="000000" w:themeColor="text1"/>
          <w:sz w:val="32"/>
          <w:szCs w:val="32"/>
          <w14:textFill>
            <w14:solidFill>
              <w14:schemeClr w14:val="tx1"/>
            </w14:solidFill>
          </w14:textFill>
        </w:rPr>
      </w:pPr>
    </w:p>
    <w:p>
      <w:pPr>
        <w:pStyle w:val="2"/>
        <w:spacing w:line="560" w:lineRule="exact"/>
        <w:rPr>
          <w:rFonts w:hint="default" w:ascii="Times New Roman" w:hAnsi="Times New Roman" w:eastAsia="仿宋_GB2312"/>
          <w:color w:val="000000" w:themeColor="text1"/>
          <w:sz w:val="32"/>
          <w:szCs w:val="32"/>
          <w14:textFill>
            <w14:solidFill>
              <w14:schemeClr w14:val="tx1"/>
            </w14:solidFill>
          </w14:textFill>
        </w:rPr>
      </w:pPr>
    </w:p>
    <w:p>
      <w:pPr>
        <w:autoSpaceDE/>
        <w:autoSpaceDN/>
        <w:spacing w:line="560" w:lineRule="exact"/>
        <w:ind w:firstLine="4480" w:firstLineChars="14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承诺企业（盖章）：</w:t>
      </w:r>
    </w:p>
    <w:p>
      <w:pPr>
        <w:autoSpaceDE/>
        <w:autoSpaceDN/>
        <w:spacing w:line="56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法定代表人（签字）：</w:t>
      </w:r>
    </w:p>
    <w:p>
      <w:pPr>
        <w:autoSpaceDE/>
        <w:autoSpaceDN/>
        <w:spacing w:line="560" w:lineRule="exact"/>
        <w:ind w:firstLine="4800" w:firstLineChars="1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202  年  </w:t>
      </w:r>
      <w:r>
        <w:rPr>
          <w:rFonts w:ascii="Times New Roman" w:hAnsi="Times New Roman" w:eastAsia="仿宋_GB2312" w:cs="Times New Roman"/>
          <w:color w:val="000000" w:themeColor="text1"/>
          <w:sz w:val="32"/>
          <w:szCs w:val="32"/>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月  </w:t>
      </w:r>
      <w:r>
        <w:rPr>
          <w:rFonts w:ascii="Times New Roman" w:hAnsi="Times New Roman" w:eastAsia="仿宋_GB2312" w:cs="Times New Roman"/>
          <w:color w:val="000000" w:themeColor="text1"/>
          <w:sz w:val="32"/>
          <w:szCs w:val="32"/>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日</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rPr>
          <w:rFonts w:ascii="Times New Roman" w:hAnsi="Times New Roman" w:cs="Times New Roman"/>
          <w:color w:val="000000" w:themeColor="text1"/>
          <w:sz w:val="32"/>
          <w:szCs w:val="32"/>
          <w:lang w:val="en-US"/>
          <w14:textFill>
            <w14:solidFill>
              <w14:schemeClr w14:val="tx1"/>
            </w14:solidFill>
          </w14:textFill>
        </w:rPr>
      </w:pPr>
      <w:r>
        <w:rPr>
          <w:rFonts w:hint="eastAsia" w:ascii="Times New Roman" w:hAnsi="Times New Roman" w:cs="Times New Roman"/>
          <w:color w:val="000000" w:themeColor="text1"/>
          <w:sz w:val="32"/>
          <w:szCs w:val="32"/>
          <w:lang w:val="en-US"/>
          <w14:textFill>
            <w14:solidFill>
              <w14:schemeClr w14:val="tx1"/>
            </w14:solidFill>
          </w14:textFill>
        </w:rPr>
        <w:t>附件2：</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合同编号：</w:t>
      </w:r>
    </w:p>
    <w:p>
      <w:pPr>
        <w:jc w:val="center"/>
        <w:rPr>
          <w:rFonts w:ascii="Times New Roman" w:hAnsi="Times New Roman" w:cs="Times New Roman"/>
          <w:color w:val="000000" w:themeColor="text1"/>
          <w14:textFill>
            <w14:solidFill>
              <w14:schemeClr w14:val="tx1"/>
            </w14:solidFill>
          </w14:textFill>
        </w:rPr>
      </w:pPr>
    </w:p>
    <w:p>
      <w:pPr>
        <w:spacing w:after="122" w:line="259" w:lineRule="auto"/>
        <w:ind w:left="10"/>
        <w:jc w:val="center"/>
        <w:rPr>
          <w:rFonts w:hint="eastAsia"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联盟地区药品集团带量采购购销合同</w:t>
      </w:r>
    </w:p>
    <w:p>
      <w:pPr>
        <w:keepNext w:val="0"/>
        <w:keepLines w:val="0"/>
        <w:pageBreakBefore w:val="0"/>
        <w:widowControl w:val="0"/>
        <w:kinsoku/>
        <w:wordWrap/>
        <w:overflowPunct/>
        <w:topLinePunct w:val="0"/>
        <w:autoSpaceDE w:val="0"/>
        <w:autoSpaceDN w:val="0"/>
        <w:bidi w:val="0"/>
        <w:adjustRightInd/>
        <w:snapToGrid/>
        <w:spacing w:line="360" w:lineRule="auto"/>
        <w:ind w:left="11"/>
        <w:jc w:val="center"/>
        <w:textAlignment w:val="auto"/>
        <w:rPr>
          <w:rFonts w:ascii="Times New Roman" w:hAnsi="Times New Roman" w:eastAsia="方正小标宋_GBK" w:cs="Times New Roman"/>
          <w:color w:val="000000" w:themeColor="text1"/>
          <w:sz w:val="4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交收地址：中国广东省*市*区*路                   </w:t>
      </w: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生效时间： 20 * 年 * 月* 日</w:t>
      </w: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有效期：20 * 年 * 月* 日至20 * 年 * 月* 日</w:t>
      </w: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left="213" w:leftChars="97" w:firstLine="209" w:firstLineChars="95"/>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甲方(医疗机构)：</w:t>
      </w:r>
    </w:p>
    <w:p>
      <w:pPr>
        <w:keepNext w:val="0"/>
        <w:keepLines w:val="0"/>
        <w:pageBreakBefore w:val="0"/>
        <w:widowControl w:val="0"/>
        <w:kinsoku/>
        <w:wordWrap/>
        <w:overflowPunct/>
        <w:topLinePunct w:val="0"/>
        <w:autoSpaceDE w:val="0"/>
        <w:autoSpaceDN w:val="0"/>
        <w:bidi w:val="0"/>
        <w:adjustRightInd/>
        <w:snapToGrid/>
        <w:spacing w:line="360" w:lineRule="auto"/>
        <w:ind w:left="213" w:leftChars="97" w:firstLine="209" w:firstLineChars="95"/>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乙方(生产企业)：</w:t>
      </w:r>
    </w:p>
    <w:p>
      <w:pPr>
        <w:keepNext w:val="0"/>
        <w:keepLines w:val="0"/>
        <w:pageBreakBefore w:val="0"/>
        <w:widowControl w:val="0"/>
        <w:kinsoku/>
        <w:wordWrap/>
        <w:overflowPunct/>
        <w:topLinePunct w:val="0"/>
        <w:autoSpaceDE w:val="0"/>
        <w:autoSpaceDN w:val="0"/>
        <w:bidi w:val="0"/>
        <w:adjustRightInd/>
        <w:snapToGrid/>
        <w:spacing w:after="194" w:line="360" w:lineRule="auto"/>
        <w:ind w:left="213" w:leftChars="97" w:firstLine="209" w:firstLineChars="95"/>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丙方(配送企业)：</w:t>
      </w:r>
    </w:p>
    <w:p>
      <w:pPr>
        <w:keepNext w:val="0"/>
        <w:keepLines w:val="0"/>
        <w:pageBreakBefore w:val="0"/>
        <w:widowControl w:val="0"/>
        <w:kinsoku/>
        <w:wordWrap/>
        <w:overflowPunct/>
        <w:topLinePunct w:val="0"/>
        <w:autoSpaceDE w:val="0"/>
        <w:autoSpaceDN w:val="0"/>
        <w:bidi w:val="0"/>
        <w:adjustRightInd/>
        <w:snapToGrid/>
        <w:ind w:left="6"/>
        <w:textAlignment w:val="auto"/>
        <w:rPr>
          <w:rFonts w:ascii="Times New Roman" w:hAnsi="Times New Roman" w:cs="Times New Roman"/>
          <w:color w:val="000000" w:themeColor="text1"/>
          <w14:textFill>
            <w14:solidFill>
              <w14:schemeClr w14:val="tx1"/>
            </w14:solidFill>
          </w14:textFill>
        </w:rPr>
      </w:pPr>
    </w:p>
    <w:p>
      <w:pPr>
        <w:adjustRightInd w:val="0"/>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根据《中华人民共和国合同法》《中华人民共和国药品管理法》《药品流通监督管理办法》《药品经营质量管理规范》等相关</w:t>
      </w:r>
      <w:r>
        <w:rPr>
          <w:rFonts w:ascii="Times New Roman" w:hAnsi="Times New Roman" w:cs="Times New Roman"/>
          <w:color w:val="000000" w:themeColor="text1"/>
          <w:lang w:val="en-US"/>
          <w14:textFill>
            <w14:solidFill>
              <w14:schemeClr w14:val="tx1"/>
            </w14:solidFill>
          </w14:textFill>
        </w:rPr>
        <w:t>法律法规及</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阿莫西林等</w:t>
      </w:r>
      <w:r>
        <w:rPr>
          <w:rFonts w:hint="eastAsia" w:ascii="Times New Roman" w:hAnsi="Times New Roman" w:cs="Times New Roman"/>
          <w:color w:val="000000" w:themeColor="text1"/>
          <w:lang w:val="en-US"/>
          <w14:textFill>
            <w14:solidFill>
              <w14:schemeClr w14:val="tx1"/>
            </w14:solidFill>
          </w14:textFill>
        </w:rPr>
        <w:t>45个药品联盟地区集团带量采购文件</w:t>
      </w:r>
      <w:r>
        <w:rPr>
          <w:rFonts w:ascii="Times New Roman" w:hAnsi="Times New Roman" w:cs="Times New Roman"/>
          <w:color w:val="000000" w:themeColor="text1"/>
          <w14:textFill>
            <w14:solidFill>
              <w14:schemeClr w14:val="tx1"/>
            </w14:solidFill>
          </w14:textFill>
        </w:rPr>
        <w:t>》（采购文件编号：GDYJYPDL20210</w:t>
      </w:r>
      <w:r>
        <w:rPr>
          <w:rFonts w:hint="eastAsia"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）规定，为确保药品网上交易的顺利进行，明确各方的权利和义务，现甲、乙、丙三方在平等、自愿、诚信的基础上，特订立本合同。</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第一条 三方关系</w:t>
      </w:r>
    </w:p>
    <w:p>
      <w:pPr>
        <w:adjustRightInd w:val="0"/>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1.甲方为参与</w:t>
      </w:r>
      <w:r>
        <w:rPr>
          <w:rFonts w:hint="eastAsia" w:ascii="Times New Roman" w:hAnsi="Times New Roman" w:cs="Times New Roman"/>
          <w:color w:val="000000" w:themeColor="text1"/>
          <w14:textFill>
            <w14:solidFill>
              <w14:schemeClr w14:val="tx1"/>
            </w14:solidFill>
          </w14:textFill>
        </w:rPr>
        <w:t>阿莫西林等</w:t>
      </w:r>
      <w:r>
        <w:rPr>
          <w:rFonts w:hint="eastAsia" w:ascii="Times New Roman" w:hAnsi="Times New Roman" w:cs="Times New Roman"/>
          <w:color w:val="000000" w:themeColor="text1"/>
          <w:lang w:val="en-US"/>
          <w14:textFill>
            <w14:solidFill>
              <w14:schemeClr w14:val="tx1"/>
            </w14:solidFill>
          </w14:textFill>
        </w:rPr>
        <w:t>45个药品联盟地区集团带量采购</w:t>
      </w:r>
      <w:r>
        <w:rPr>
          <w:rFonts w:ascii="Times New Roman" w:hAnsi="Times New Roman" w:cs="Times New Roman"/>
          <w:color w:val="000000" w:themeColor="text1"/>
          <w14:textFill>
            <w14:solidFill>
              <w14:schemeClr w14:val="tx1"/>
            </w14:solidFill>
          </w14:textFill>
        </w:rPr>
        <w:t>（以下简称联盟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带量采购）的</w:t>
      </w:r>
      <w:r>
        <w:rPr>
          <w:rFonts w:ascii="Times New Roman" w:hAnsi="Times New Roman" w:cs="Times New Roman"/>
          <w:color w:val="000000" w:themeColor="text1"/>
          <w:lang w:val="en-US"/>
          <w14:textFill>
            <w14:solidFill>
              <w14:schemeClr w14:val="tx1"/>
            </w14:solidFill>
          </w14:textFill>
        </w:rPr>
        <w:t>医疗机构</w:t>
      </w:r>
      <w:r>
        <w:rPr>
          <w:rFonts w:ascii="Times New Roman" w:hAnsi="Times New Roman" w:cs="Times New Roman"/>
          <w:color w:val="000000" w:themeColor="text1"/>
          <w14:textFill>
            <w14:solidFill>
              <w14:schemeClr w14:val="tx1"/>
            </w14:solidFill>
          </w14:textFill>
        </w:rPr>
        <w:t>，乙方为联盟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带量采购中选药品的生产企业，丙方为乙方委托的联盟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带量采购中选药品的配送企业。</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2.在本合同有效期内，三方之间的药品购销行为以及因此而产生的其他关系均受本合同约束。</w:t>
      </w: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第二条 合同标的</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中选药品的名称、剂型、规格、包装规格、中选价格、约定采购量、生产企业等见本合同附件之中选药品采购明细表。</w:t>
      </w:r>
    </w:p>
    <w:p>
      <w:pPr>
        <w:spacing w:line="360" w:lineRule="auto"/>
        <w:ind w:left="5"/>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第三条 资质</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1.乙方为合法的药品生产企业，且具备法定的履行本合同的能力，乙方应当在签订本合同后的 3日内向丙方提供如下加盖有乙方公章的材料复印件：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（2）药品生产许可证。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2.丙方为合法的药品配送企业，且具备法定的履行本合同的能力，丙方应当在签订本合同后的 3日内向甲方、乙方提供如下加盖有丙方公章的材料复印件：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（2）药品经营许可证。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3.乙方、丙方中任何一方未提供上述材料的，本合同不得继续履行。</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4.在本合同履行期间，如遇乙、丙双方上述证书换发，双方应在证书换发后的 10 个工作日内向对方以及甲方更新材料。</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第四条 交易方式</w:t>
      </w:r>
    </w:p>
    <w:p>
      <w:pPr>
        <w:adjustRightInd w:val="0"/>
        <w:spacing w:line="360" w:lineRule="auto"/>
        <w:ind w:left="44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甲方、乙方、丙方对本合同所列中选药品通过</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（省/广州/深圳）平台进行线上采购。</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第五条 药品质量、批件与有效期</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乙方供应的中选药品应符合中选药品生产国与中华人民共和国国家药品质量标准和有关质量要求，并与投标时承诺的质量相一致，以确保用药安全有效。药品的包装、标识、标签、说明书等应符合国家相关规定，并具备国家管理部门的相关批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2.乙方、丙方应向甲方提供其合法的有效证件及所供中选药品的生产批件或进口药品注册证、质量标准等相关文件。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各方对药品质量存在争议时，应送甲方所在地药检部门检验，同时报告所在地医保部门。如送检药品存在质量问题的，检验费用乙方承担，甲方有权据此单方终止该中选药品购销合同的履行，同时报告所在地医保、药监部门，按《广东省医疗保障局关于做好药品和医用耗材采购工作的指导意见》（粤医保规〔2020〕2号）及《</w:t>
      </w:r>
      <w:r>
        <w:rPr>
          <w:rFonts w:hint="eastAsia" w:ascii="Times New Roman" w:hAnsi="Times New Roman" w:cs="Times New Roman"/>
          <w:color w:val="000000" w:themeColor="text1"/>
          <w14:textFill>
            <w14:solidFill>
              <w14:schemeClr w14:val="tx1"/>
            </w14:solidFill>
          </w14:textFill>
        </w:rPr>
        <w:t>阿莫西林等</w:t>
      </w:r>
      <w:r>
        <w:rPr>
          <w:rFonts w:hint="eastAsia" w:ascii="Times New Roman" w:hAnsi="Times New Roman" w:cs="Times New Roman"/>
          <w:color w:val="000000" w:themeColor="text1"/>
          <w:lang w:val="en-US"/>
          <w14:textFill>
            <w14:solidFill>
              <w14:schemeClr w14:val="tx1"/>
            </w14:solidFill>
          </w14:textFill>
        </w:rPr>
        <w:t>45个药品联盟地区集团带量采购文件</w:t>
      </w:r>
      <w:r>
        <w:rPr>
          <w:rFonts w:ascii="Times New Roman" w:hAnsi="Times New Roman" w:cs="Times New Roman"/>
          <w:color w:val="000000" w:themeColor="text1"/>
          <w14:textFill>
            <w14:solidFill>
              <w14:schemeClr w14:val="tx1"/>
            </w14:solidFill>
          </w14:textFill>
        </w:rPr>
        <w:t>》（采购文件编号：GDYJYPDL20210</w:t>
      </w:r>
      <w:r>
        <w:rPr>
          <w:rFonts w:hint="eastAsia"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）相关条款处理；如送检药品无质量问题的，合同继续履行，检验费用由甲方承担。</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甲、乙、丙三方按各自责任范围承担药品储存及质量管理责任：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（1）甲方对已购进的中选药品应妥善储存和管理，如因甲方库存条件不符合药品正常储存造成的药品质量问题，由甲方承担全部责任。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（2）丙方对已购进的中选药品应妥善储存和管理，如因丙方库存条件不符合药品正常储存造成的药品质量问题，由丙方承担全部责任。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（3）除上述原因外的药品质量问题造成的一切损失及第三方责任，由乙方和丙方</w:t>
      </w:r>
      <w:r>
        <w:rPr>
          <w:rFonts w:ascii="Times New Roman" w:hAnsi="Times New Roman" w:cs="Times New Roman"/>
          <w:color w:val="000000" w:themeColor="text1"/>
          <w:lang w:val="en-US"/>
          <w14:textFill>
            <w14:solidFill>
              <w14:schemeClr w14:val="tx1"/>
            </w14:solidFill>
          </w14:textFill>
        </w:rPr>
        <w:t>连带</w:t>
      </w:r>
      <w:r>
        <w:rPr>
          <w:rFonts w:ascii="Times New Roman" w:hAnsi="Times New Roman" w:cs="Times New Roman"/>
          <w:color w:val="000000" w:themeColor="text1"/>
          <w14:textFill>
            <w14:solidFill>
              <w14:schemeClr w14:val="tx1"/>
            </w14:solidFill>
          </w14:textFill>
        </w:rPr>
        <w:t>承担全部责任。有关乙方和丙方之间内部责任问题按双方约定。</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.前述中选药品批件应当随货提供。</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.乙方确保其每次交付给丙方的中选药品时，供货中选药品的剩余有效期符合如下条件：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（1）中选药品有效期为一年的，剩余有效期至少为九个月；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（2）中选药品有效期为一年半至两年的，剩余有效期至少为十二个月；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（3）中选药品有效期超过二年的，剩余有效期至少为十五个月。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如遇特殊情况，甲、乙、丙三方可另行通过补充协议的方式约定剩余有效期的长短。在中选药品发生货源紧张的状况下，</w:t>
      </w:r>
      <w:r>
        <w:rPr>
          <w:rFonts w:ascii="Times New Roman" w:hAnsi="Times New Roman" w:cs="Times New Roman"/>
          <w:color w:val="000000" w:themeColor="text1"/>
          <w:lang w:val="en-US"/>
          <w14:textFill>
            <w14:solidFill>
              <w14:schemeClr w14:val="tx1"/>
            </w14:solidFill>
          </w14:textFill>
        </w:rPr>
        <w:t>乙</w:t>
      </w:r>
      <w:r>
        <w:rPr>
          <w:rFonts w:ascii="Times New Roman" w:hAnsi="Times New Roman" w:cs="Times New Roman"/>
          <w:color w:val="000000" w:themeColor="text1"/>
          <w14:textFill>
            <w14:solidFill>
              <w14:schemeClr w14:val="tx1"/>
            </w14:solidFill>
          </w14:textFill>
        </w:rPr>
        <w:t>方应优先满足本合同的需求，避免脱销。</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.如乙方供货中选药品为首营品种药品的，乙方有责任在交货前向丙方提供完整、准确的药品首营资料。</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.丙方配送到甲方的药品，剩余有效期不得少于</w:t>
      </w: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个月。丙方可以拒收乙方超出订货协议数量的货物。特殊品种甲、乙、丙三方另行协商。</w:t>
      </w:r>
    </w:p>
    <w:p>
      <w:pPr>
        <w:numPr>
          <w:ilvl w:val="255"/>
          <w:numId w:val="0"/>
        </w:numPr>
        <w:spacing w:line="360" w:lineRule="auto"/>
        <w:ind w:left="20" w:hanging="10"/>
        <w:rPr>
          <w:rFonts w:ascii="Times New Roman" w:hAnsi="Times New Roman" w:cs="Times New Roman"/>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第六条 订货与运送交付</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1.本合同签订后，乙方应按约定采购量组织生产，保证按本合同约定及时足量供应中选药品。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2.甲方在乙方、丙方无违约行为的前提下，必须足量采购本合同附件所列的中选药品，确保在合同有效期内完成约定采购量。</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3.乙方保证中选药品包装符合《中华人民共和国药品管理法》及国家各级药品监督管理机构颁布的法规规章及货物运输要求。</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4.丙方保证以符合 GSP 规范及中选药品特性的物流配送方式进行运输，并就运输过程中因包装或运输不善、配送迟延等原因导致中选药品损坏、变质、短缺或剩余有效期不符等承担全部责任。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bookmarkStart w:id="40" w:name="_Hlk48139721"/>
      <w:r>
        <w:rPr>
          <w:rFonts w:ascii="Times New Roman" w:hAnsi="Times New Roman" w:cs="Times New Roman"/>
          <w:color w:val="000000" w:themeColor="text1"/>
          <w14:textFill>
            <w14:solidFill>
              <w14:schemeClr w14:val="tx1"/>
            </w14:solidFill>
          </w14:textFill>
        </w:rPr>
        <w:t>5.乙方应按乙、丙双方约定的运输方式、期限和交货地点向丙方交付产品。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6.乙、丙双方确认供货事项后，乙方如期供货但供货中选药品种类不符或有短缺，丙方有权拒收。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7.丙方可委托第三方物流将中选药品托运至</w:t>
      </w:r>
      <w:r>
        <w:rPr>
          <w:rFonts w:ascii="Times New Roman" w:hAnsi="Times New Roman" w:cs="Times New Roman"/>
          <w:color w:val="000000" w:themeColor="text1"/>
          <w:lang w:val="en-US"/>
          <w14:textFill>
            <w14:solidFill>
              <w14:schemeClr w14:val="tx1"/>
            </w14:solidFill>
          </w14:textFill>
        </w:rPr>
        <w:t>甲</w:t>
      </w:r>
      <w:r>
        <w:rPr>
          <w:rFonts w:ascii="Times New Roman" w:hAnsi="Times New Roman" w:cs="Times New Roman"/>
          <w:color w:val="000000" w:themeColor="text1"/>
          <w14:textFill>
            <w14:solidFill>
              <w14:schemeClr w14:val="tx1"/>
            </w14:solidFill>
          </w14:textFill>
        </w:rPr>
        <w:t>方指定的收货地点，在此种情况下运输中发生的一切费用，包括但不限于中转费、运输费、保险费及卸货费等均由丙方承担。</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8.中选药品到达丙方仓库或丙方收货地点交付之前的风险由乙方承担，到达目的地经验收交付后的风险由丙方承担。</w:t>
      </w:r>
    </w:p>
    <w:bookmarkEnd w:id="40"/>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10.丙方配送中选药品的品种、剂型、数量等必须严格按照甲方发送的订单执行，同时应提供同批号药品的检验报告书。</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11.乙方为中选药品质量与供应的第一责任人，对丙方的配送供货行为负责，并承担连带责任。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bookmarkStart w:id="41" w:name="_Hlk48139743"/>
      <w:r>
        <w:rPr>
          <w:rFonts w:ascii="Times New Roman" w:hAnsi="Times New Roman" w:cs="Times New Roman"/>
          <w:color w:val="000000" w:themeColor="text1"/>
          <w14:textFill>
            <w14:solidFill>
              <w14:schemeClr w14:val="tx1"/>
            </w14:solidFill>
          </w14:textFill>
        </w:rPr>
        <w:t>12.除非对包装另有规定，丙方配送的全部药品必须按标准保护措施进行包装，以防止药品在转运中损坏或变质，确保药品安全无损运抵指定现场，否则其所造成的一切损失均由乙、丙双方协商负责。</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13.每一个包装箱内必须附一份详细装箱单。包装、标记和包装箱内外的单据应符合协议的特殊要求，包括甲方后来提出的特殊要求。</w:t>
      </w:r>
    </w:p>
    <w:bookmarkEnd w:id="41"/>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第七条 药品验收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bookmarkStart w:id="42" w:name="_Hlk48139856"/>
      <w:r>
        <w:rPr>
          <w:rFonts w:ascii="Times New Roman" w:hAnsi="Times New Roman" w:cs="Times New Roman"/>
          <w:color w:val="000000" w:themeColor="text1"/>
          <w14:textFill>
            <w14:solidFill>
              <w14:schemeClr w14:val="tx1"/>
            </w14:solidFill>
          </w14:textFill>
        </w:rPr>
        <w:t>1.中选药品交付时，乙方应货票同行，并严格按照法定的运输管理要求及药品储存、包装标准等将中选药品按时发运给丙方，丙方收到乙方供货的中选药品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药品，并承担由此对丙方造成的损失。</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中选药品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5%的，有权要求乙方就该批供货整体退货或换货。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3.即使乙方的中选药品通过了丙方的验收，仍不能排除乙方供货中选药品存在质量缺陷的可能。在发生药品质量纠纷时，乙方不能以“已通过验收”作为中选药品不存在安全、质量瑕疵的抗辩理由。</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丙方应当在配送中选药品予甲方的同时，在交易系统按要求进行相应的操作及上传相应的文件如出库单、发票等；自丙方在系统操作确认发货之时起，甲方须在验收药品合格后的七个工作日内在交易系统进行收货确认，甲方未在上述时段内确认收货的，系统将自动确认收货。</w:t>
      </w:r>
    </w:p>
    <w:bookmarkEnd w:id="42"/>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第八条 中选药品的规定</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1.甲方根据带量购销合同约定，在合同期内完成合同用量。</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2.甲方若在合同期内提前超额完成约定采购量的，超过部分由甲、乙、丙三方另行协商解决。</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.甲方主动向社会公开联盟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带量采购中选药品的购进价格和销售价格信息。</w:t>
      </w:r>
    </w:p>
    <w:p>
      <w:pPr>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第九条 货款结算</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1.采购价格：按本合同附件之中选药品采购明细表中载明的中选价格执行，该价格包含成本、运输、包装、伴随服务、税费及其他一切附加费用。</w:t>
      </w:r>
    </w:p>
    <w:p>
      <w:pPr>
        <w:pStyle w:val="6"/>
        <w:spacing w:after="0" w:line="360" w:lineRule="auto"/>
        <w:ind w:left="0" w:firstLine="48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2.发票开具：丙方应对中选药品开具发票和清单，随货同行将合法发票送达甲方。甲方接收丙方配送的中选药品后，应在收到合法发票后按规定通过交易平台进行发票交付确认。</w:t>
      </w:r>
    </w:p>
    <w:p>
      <w:pPr>
        <w:pStyle w:val="6"/>
        <w:spacing w:after="0" w:line="360" w:lineRule="auto"/>
        <w:ind w:left="0" w:firstLine="48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3.结算时间：甲方为货款结算第一责任人，应按合同规定与丙方及时结算，从收货验收合格起30日内通过交易平台向丙方支付全部货款。</w:t>
      </w:r>
    </w:p>
    <w:p>
      <w:pPr>
        <w:numPr>
          <w:ilvl w:val="255"/>
          <w:numId w:val="0"/>
        </w:numPr>
        <w:spacing w:line="360" w:lineRule="auto"/>
        <w:ind w:left="20"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4.交易平台</w:t>
      </w:r>
      <w:r>
        <w:rPr>
          <w:rFonts w:ascii="Times New Roman" w:hAnsi="Times New Roman" w:cs="Times New Roman"/>
          <w:color w:val="000000" w:themeColor="text1"/>
          <w14:textFill>
            <w14:solidFill>
              <w14:schemeClr w14:val="tx1"/>
            </w14:solidFill>
          </w14:textFill>
        </w:rPr>
        <w:t>在当期应付货款到期</w:t>
      </w:r>
      <w:r>
        <w:rPr>
          <w:rFonts w:ascii="Times New Roman" w:hAnsi="Times New Roman" w:cs="Times New Roman"/>
          <w:color w:val="000000" w:themeColor="text1"/>
          <w:lang w:val="en-US"/>
          <w14:textFill>
            <w14:solidFill>
              <w14:schemeClr w14:val="tx1"/>
            </w14:solidFill>
          </w14:textFill>
        </w:rPr>
        <w:t>前7日</w:t>
      </w:r>
      <w:r>
        <w:rPr>
          <w:rFonts w:ascii="Times New Roman" w:hAnsi="Times New Roman" w:cs="Times New Roman"/>
          <w:color w:val="000000" w:themeColor="text1"/>
          <w14:textFill>
            <w14:solidFill>
              <w14:schemeClr w14:val="tx1"/>
            </w14:solidFill>
          </w14:textFill>
        </w:rPr>
        <w:t>对</w:t>
      </w:r>
      <w:r>
        <w:rPr>
          <w:rFonts w:ascii="Times New Roman" w:hAnsi="Times New Roman" w:cs="Times New Roman"/>
          <w:color w:val="000000" w:themeColor="text1"/>
          <w:lang w:val="en-US"/>
          <w14:textFill>
            <w14:solidFill>
              <w14:schemeClr w14:val="tx1"/>
            </w14:solidFill>
          </w14:textFill>
        </w:rPr>
        <w:t>甲方</w:t>
      </w:r>
      <w:r>
        <w:rPr>
          <w:rFonts w:ascii="Times New Roman" w:hAnsi="Times New Roman" w:cs="Times New Roman"/>
          <w:color w:val="000000" w:themeColor="text1"/>
          <w14:textFill>
            <w14:solidFill>
              <w14:schemeClr w14:val="tx1"/>
            </w14:solidFill>
          </w14:textFill>
        </w:rPr>
        <w:t>发出缴</w:t>
      </w:r>
      <w:r>
        <w:rPr>
          <w:rFonts w:ascii="Times New Roman" w:hAnsi="Times New Roman" w:cs="Times New Roman"/>
          <w:color w:val="000000" w:themeColor="text1"/>
          <w:lang w:val="en-US"/>
          <w14:textFill>
            <w14:solidFill>
              <w14:schemeClr w14:val="tx1"/>
            </w14:solidFill>
          </w14:textFill>
        </w:rPr>
        <w:t>款提醒</w:t>
      </w:r>
      <w:r>
        <w:rPr>
          <w:rFonts w:ascii="Times New Roman" w:hAnsi="Times New Roman" w:cs="Times New Roman"/>
          <w:color w:val="000000" w:themeColor="text1"/>
          <w14:textFill>
            <w14:solidFill>
              <w14:schemeClr w14:val="tx1"/>
            </w14:solidFill>
          </w14:textFill>
        </w:rPr>
        <w:t>通知，告知其应付货款的最后支付时间。</w:t>
      </w:r>
    </w:p>
    <w:p>
      <w:pPr>
        <w:numPr>
          <w:ilvl w:val="255"/>
          <w:numId w:val="0"/>
        </w:numPr>
        <w:spacing w:line="360" w:lineRule="auto"/>
        <w:rPr>
          <w:rFonts w:ascii="Times New Roman" w:hAnsi="Times New Roman" w:cs="Times New Roman"/>
          <w:color w:val="000000" w:themeColor="text1"/>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第十条 退换货及召回</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1.若因中选药品的质量问题，损坏或变质发生甲方退货的情况，乙方应无条件退换货并承担由此产生的一切费用，所导致的所有纠纷及赔偿由乙方承担责任。乙方承诺补偿甲方由此造成的所有损失。</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lang w:val="en-US"/>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乙方供货符合质量验收的标准。甲方收货的当天，中选药品的剩余有效期不足6个月，甲方收货后的5个工作日内有权要求作出退货或换货的处理，</w:t>
      </w:r>
      <w:r>
        <w:rPr>
          <w:rFonts w:ascii="Times New Roman" w:hAnsi="Times New Roman" w:cs="Times New Roman"/>
          <w:color w:val="000000" w:themeColor="text1"/>
          <w:sz w:val="24"/>
          <w:lang w:val="en-US"/>
          <w14:textFill>
            <w14:solidFill>
              <w14:schemeClr w14:val="tx1"/>
            </w14:solidFill>
          </w14:textFill>
        </w:rPr>
        <w:t>向丙方或</w:t>
      </w:r>
      <w:r>
        <w:rPr>
          <w:rFonts w:ascii="Times New Roman" w:hAnsi="Times New Roman" w:cs="Times New Roman"/>
          <w:color w:val="000000" w:themeColor="text1"/>
          <w:sz w:val="24"/>
          <w14:textFill>
            <w14:solidFill>
              <w14:schemeClr w14:val="tx1"/>
            </w14:solidFill>
          </w14:textFill>
        </w:rPr>
        <w:t>通过丙方向乙方行使此项权利。</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lang w:val="en-US"/>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对由于不动销或滞销而出现的近效期中选药品，甲方可向丙方或通过丙方向乙方就未销售的中选药品进行协商处理。 </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.在本合同履行过程中，若乙方自行或者根据相关职能部门的要求召回中选药品时，乙方应当及时通知甲方，作出相应说明。乙方应向甲方提供必要的协助配合，且召回中所产生的费用均由乙方承担。 </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.乙方在最终召回日期后的5个工作日内，根据实际召回数量向丙方、甲方归还货款。在此之后仍有中选药品被召回的，乙方应按上述约定承担同样的责任。</w:t>
      </w:r>
    </w:p>
    <w:p>
      <w:pPr>
        <w:spacing w:line="360" w:lineRule="auto"/>
        <w:ind w:left="229" w:leftChars="104" w:firstLine="209" w:firstLineChars="95"/>
        <w:rPr>
          <w:rFonts w:ascii="Times New Roman" w:hAnsi="Times New Roman" w:cs="Times New Roman"/>
          <w:color w:val="000000" w:themeColor="text1"/>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第十一条 知识产权及商业秘密保护</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1.甲、乙、丙三方均不得利用履行本合同所形成的便利条件，侵害各方的知识产权，该知识产权具体包括但不限于制药方法的专利权、专有技术，商标权以及企业名称权等。</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2.甲、乙、丙三方应恪守商业秘密保护的责任，未经对方事前书面同意，不得擅自使用或对外披露对方的商业秘密。</w:t>
      </w:r>
    </w:p>
    <w:p>
      <w:pPr>
        <w:spacing w:line="360" w:lineRule="auto"/>
        <w:ind w:firstLine="44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3.乙方应保证中选药品不存在专利权、商标权等知识产权方面的争议，如与第三方产生争议，甲方有权解除本协议、终止对乙方药品的采购且不承担违约责任，乙方自行处理和承担责任。</w:t>
      </w:r>
    </w:p>
    <w:p>
      <w:pPr>
        <w:spacing w:line="360" w:lineRule="auto"/>
        <w:ind w:firstLine="44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如因乙方产品侵犯第三方权利导致甲方因此而遭致损失的，乙方应全额赔偿甲方的损失。</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第十二条 违约责任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1.甲方如出现下列行为，应按照《中华人民共和国合同法》的规定承担违约责任: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（1）甲方违反本合同约定，无正当理由拒绝接收丙方配送的药品；</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（2）甲方违反本合同约定，在合同有效期内无故未完成约定采购量；</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（3）甲方未按照本合同约定按时结算货款；</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（4）其他违反本合同约定的行为。</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2.乙方如出现下列行为，应按照《中华人民共和国合同法》的规定承担违约责任：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（1）所供选药品不符合本合同约定的质量标准；</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（2）未按照本合同约定及时进行退换货。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3.丙方如出现下列行为，应按照《中华人民共和国合同法》的规定承担违约责任，且乙、丙双方互为连带责任：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（1）违反本合同约定，不及时、不足量或拒绝供货；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（2）运输不善或配送迟延等原因，导致中选药品在配送过程中发生损坏或变质；</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（3）其他违反本合同约定的行为。</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.任何一方违反本合同导致本合同无法继续履行的，违约方应赔偿违约行为对守约方造成的所有实际损失。</w:t>
      </w:r>
      <w:r>
        <w:rPr>
          <w:rFonts w:ascii="Times New Roman" w:hAnsi="Times New Roman" w:cs="Times New Roman"/>
          <w:color w:val="000000" w:themeColor="text1"/>
          <w:lang w:val="en-US"/>
          <w14:textFill>
            <w14:solidFill>
              <w14:schemeClr w14:val="tx1"/>
            </w14:solidFill>
          </w14:textFill>
        </w:rPr>
        <w:t>当</w:t>
      </w:r>
      <w:r>
        <w:rPr>
          <w:rFonts w:ascii="Times New Roman" w:hAnsi="Times New Roman" w:cs="Times New Roman"/>
          <w:color w:val="000000" w:themeColor="text1"/>
          <w14:textFill>
            <w14:solidFill>
              <w14:schemeClr w14:val="tx1"/>
            </w14:solidFill>
          </w14:textFill>
        </w:rPr>
        <w:t>出现货款逾期支付或退还货款逾期的情形时，违约方应向守约方支付逾期付款违约金：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）逾期在10日（含）以内的，每日应按未付款项的0.1‰向守约方支付违约金；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）逾期在10日以上30日（含）以内的，每日应按未付款项的0.3‰向守约方支付违约金；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）逾期超过30日的，每日应按未付款项的0.8‰向守约方支付违约金；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）违约金的支付并不免除或减轻违约方继续履行合同的义务。</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第十三条 不可抗力</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1. 在采购周期内，若国家和省有新规定的，从其规定。</w:t>
      </w:r>
    </w:p>
    <w:p>
      <w:pPr>
        <w:spacing w:line="360" w:lineRule="auto"/>
        <w:ind w:left="5"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2.甲、乙、丙三方因国家和省政策调整或不可抗力而导致合同实施延误或不能履行合同义务的，不应承担误期赔偿或终止合同的责任。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迖成进一步履行合同的协议。</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第十四条 合同的变更和解除</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1.甲、乙、丙任何一方严重违约，造成本合同无法继续履行或不能实现合同目的，被违约的两方有权解除本合同的履行。</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2.甲、乙、丙任何一方丧失必要的经营资质或产品代理资质，不能再从事药品生产或经营活动的；或严重资不抵债的；或无能力的/或承认其无能力清偿到期债务的，任一守约方有权解除本合同的履行。 </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3.在国家和省政策调整或不可抗力发生的情况下，甲、乙、丙三方可根据情况变更或解除本合同的履行。 </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4.合同变更和解除前约定履行但尚未履行的部分，除法律法规有明确规定不能继续履行的，甲、乙、丙三方应继续履行至结束。 </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第十五条 争议的解决</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2.本合同适用中华人民共和国法律法规。</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第十六条 其他条款</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1.甲、乙、丙三方通过交易平台确认的订单为本合同的组成部分，具有同等法律效力。</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3.本合同于</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（省/广州/深圳）平台签署，自甲方通过该交易平台创建发送合同，且乙方、丙方均通过该交易平台确认同意之日起成立并生效。</w:t>
      </w:r>
    </w:p>
    <w:p>
      <w:pPr>
        <w:spacing w:line="360" w:lineRule="auto"/>
        <w:rPr>
          <w:rFonts w:ascii="Times New Roman" w:hAnsi="Times New Roman" w:cs="Times New Roman"/>
          <w:color w:val="000000" w:themeColor="text1"/>
          <w14:textFill>
            <w14:solidFill>
              <w14:schemeClr w14:val="tx1"/>
            </w14:solidFill>
          </w14:textFill>
        </w:rPr>
      </w:pPr>
    </w:p>
    <w:p>
      <w:pPr>
        <w:numPr>
          <w:ilvl w:val="255"/>
          <w:numId w:val="0"/>
        </w:numPr>
        <w:spacing w:line="360" w:lineRule="auto"/>
        <w:ind w:left="10"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第十七条 特别约定</w:t>
      </w:r>
    </w:p>
    <w:p>
      <w:pPr>
        <w:numPr>
          <w:ilvl w:val="255"/>
          <w:numId w:val="0"/>
        </w:numPr>
        <w:spacing w:line="360" w:lineRule="auto"/>
        <w:ind w:left="10" w:firstLine="4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w:t>
      </w:r>
      <w:r>
        <w:rPr>
          <w:rFonts w:hint="eastAsia" w:ascii="Times New Roman" w:hAnsi="Times New Roman" w:cs="Times New Roman"/>
          <w:bCs/>
          <w:color w:val="000000" w:themeColor="text1"/>
          <w14:textFill>
            <w14:solidFill>
              <w14:schemeClr w14:val="tx1"/>
            </w14:solidFill>
          </w14:textFill>
        </w:rPr>
        <w:t>阿莫西林等</w:t>
      </w:r>
      <w:r>
        <w:rPr>
          <w:rFonts w:hint="eastAsia" w:ascii="Times New Roman" w:hAnsi="Times New Roman" w:cs="Times New Roman"/>
          <w:bCs/>
          <w:color w:val="000000" w:themeColor="text1"/>
          <w:lang w:val="en-US"/>
          <w14:textFill>
            <w14:solidFill>
              <w14:schemeClr w14:val="tx1"/>
            </w14:solidFill>
          </w14:textFill>
        </w:rPr>
        <w:t>45个药品联盟地区集团带量采购文件</w:t>
      </w:r>
      <w:r>
        <w:rPr>
          <w:rFonts w:ascii="Times New Roman" w:hAnsi="Times New Roman" w:cs="Times New Roman"/>
          <w:bCs/>
          <w:color w:val="000000" w:themeColor="text1"/>
          <w14:textFill>
            <w14:solidFill>
              <w14:schemeClr w14:val="tx1"/>
            </w14:solidFill>
          </w14:textFill>
        </w:rPr>
        <w:t>》（采购文件编号：</w:t>
      </w:r>
      <w:r>
        <w:rPr>
          <w:rFonts w:ascii="Times New Roman" w:hAnsi="Times New Roman" w:cs="Times New Roman"/>
          <w:color w:val="000000" w:themeColor="text1"/>
          <w14:textFill>
            <w14:solidFill>
              <w14:schemeClr w14:val="tx1"/>
            </w14:solidFill>
          </w14:textFill>
        </w:rPr>
        <w:t>GDYJYPDL20210</w:t>
      </w:r>
      <w:r>
        <w:rPr>
          <w:rFonts w:hint="eastAsia"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bCs/>
          <w:color w:val="000000" w:themeColor="text1"/>
          <w14:textFill>
            <w14:solidFill>
              <w14:schemeClr w14:val="tx1"/>
            </w14:solidFill>
          </w14:textFill>
        </w:rPr>
        <w:t>）、乙方的申报材料（含《医药企业价格和营销行为信用承诺</w:t>
      </w:r>
      <w:r>
        <w:rPr>
          <w:rFonts w:hint="eastAsia" w:ascii="Times New Roman" w:hAnsi="Times New Roman" w:cs="Times New Roman"/>
          <w:bCs/>
          <w:color w:val="000000" w:themeColor="text1"/>
          <w14:textFill>
            <w14:solidFill>
              <w14:schemeClr w14:val="tx1"/>
            </w14:solidFill>
          </w14:textFill>
        </w:rPr>
        <w:t>书</w:t>
      </w:r>
      <w:r>
        <w:rPr>
          <w:rFonts w:ascii="Times New Roman" w:hAnsi="Times New Roman" w:cs="Times New Roman"/>
          <w:bCs/>
          <w:color w:val="000000" w:themeColor="text1"/>
          <w14:textFill>
            <w14:solidFill>
              <w14:schemeClr w14:val="tx1"/>
            </w14:solidFill>
          </w14:textFill>
        </w:rPr>
        <w:t>》）为本合同的有效组成部分，本合同各方应遵照执行。</w:t>
      </w:r>
    </w:p>
    <w:p>
      <w:pPr>
        <w:numPr>
          <w:ilvl w:val="255"/>
          <w:numId w:val="0"/>
        </w:numPr>
        <w:spacing w:line="360" w:lineRule="auto"/>
        <w:ind w:left="10" w:firstLine="4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lang w:val="en-US"/>
          <w14:textFill>
            <w14:solidFill>
              <w14:schemeClr w14:val="tx1"/>
            </w14:solidFill>
          </w14:textFill>
        </w:rPr>
        <w:t>2</w:t>
      </w: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lang w:val="en-US"/>
          <w14:textFill>
            <w14:solidFill>
              <w14:schemeClr w14:val="tx1"/>
            </w14:solidFill>
          </w14:textFill>
        </w:rPr>
        <w:t>乙</w:t>
      </w:r>
      <w:r>
        <w:rPr>
          <w:rFonts w:ascii="Times New Roman" w:hAnsi="Times New Roman" w:cs="Times New Roman"/>
          <w:bCs/>
          <w:color w:val="000000" w:themeColor="text1"/>
          <w14:textFill>
            <w14:solidFill>
              <w14:schemeClr w14:val="tx1"/>
            </w14:solidFill>
          </w14:textFill>
        </w:rPr>
        <w:t>方、</w:t>
      </w:r>
      <w:r>
        <w:rPr>
          <w:rFonts w:ascii="Times New Roman" w:hAnsi="Times New Roman" w:cs="Times New Roman"/>
          <w:bCs/>
          <w:color w:val="000000" w:themeColor="text1"/>
          <w:lang w:val="en-US"/>
          <w14:textFill>
            <w14:solidFill>
              <w14:schemeClr w14:val="tx1"/>
            </w14:solidFill>
          </w14:textFill>
        </w:rPr>
        <w:t>丙方</w:t>
      </w:r>
      <w:r>
        <w:rPr>
          <w:rFonts w:ascii="Times New Roman" w:hAnsi="Times New Roman" w:cs="Times New Roman"/>
          <w:bCs/>
          <w:color w:val="000000" w:themeColor="text1"/>
          <w14:textFill>
            <w14:solidFill>
              <w14:schemeClr w14:val="tx1"/>
            </w14:solidFill>
          </w14:textFill>
        </w:rPr>
        <w:t>如出现违反本合同约定的，自愿接受取消2年内参加省级</w:t>
      </w:r>
      <w:r>
        <w:rPr>
          <w:rFonts w:hint="eastAsia" w:ascii="Times New Roman" w:hAnsi="Times New Roman" w:cs="Times New Roman"/>
          <w:bCs/>
          <w:color w:val="000000" w:themeColor="text1"/>
          <w14:textFill>
            <w14:solidFill>
              <w14:schemeClr w14:val="tx1"/>
            </w14:solidFill>
          </w14:textFill>
        </w:rPr>
        <w:t>集团</w:t>
      </w:r>
      <w:r>
        <w:rPr>
          <w:rFonts w:ascii="Times New Roman" w:hAnsi="Times New Roman" w:cs="Times New Roman"/>
          <w:bCs/>
          <w:color w:val="000000" w:themeColor="text1"/>
          <w14:textFill>
            <w14:solidFill>
              <w14:schemeClr w14:val="tx1"/>
            </w14:solidFill>
          </w14:textFill>
        </w:rPr>
        <w:t>带量采购</w:t>
      </w:r>
      <w:r>
        <w:rPr>
          <w:rFonts w:ascii="Times New Roman" w:hAnsi="Times New Roman" w:cs="Times New Roman"/>
          <w:bCs/>
          <w:color w:val="000000" w:themeColor="text1"/>
          <w:lang w:val="en-US"/>
          <w14:textFill>
            <w14:solidFill>
              <w14:schemeClr w14:val="tx1"/>
            </w14:solidFill>
          </w14:textFill>
        </w:rPr>
        <w:t>的</w:t>
      </w:r>
      <w:r>
        <w:rPr>
          <w:rFonts w:ascii="Times New Roman" w:hAnsi="Times New Roman" w:cs="Times New Roman"/>
          <w:bCs/>
          <w:color w:val="000000" w:themeColor="text1"/>
          <w14:textFill>
            <w14:solidFill>
              <w14:schemeClr w14:val="tx1"/>
            </w14:solidFill>
          </w14:textFill>
        </w:rPr>
        <w:t>资格。</w:t>
      </w:r>
    </w:p>
    <w:p>
      <w:pPr>
        <w:numPr>
          <w:ilvl w:val="255"/>
          <w:numId w:val="0"/>
        </w:numPr>
        <w:spacing w:line="360" w:lineRule="auto"/>
        <w:ind w:left="10" w:firstLine="440" w:firstLineChars="200"/>
        <w:rPr>
          <w:rFonts w:ascii="Times New Roman" w:hAnsi="Times New Roman" w:cs="Times New Roman"/>
          <w:bCs/>
          <w:color w:val="000000" w:themeColor="text1"/>
          <w:lang w:val="en-US"/>
          <w14:textFill>
            <w14:solidFill>
              <w14:schemeClr w14:val="tx1"/>
            </w14:solidFill>
          </w14:textFill>
        </w:rPr>
      </w:pPr>
      <w:r>
        <w:rPr>
          <w:rFonts w:ascii="Times New Roman" w:hAnsi="Times New Roman" w:cs="Times New Roman"/>
          <w:bCs/>
          <w:color w:val="000000" w:themeColor="text1"/>
          <w:lang w:val="en-US"/>
          <w14:textFill>
            <w14:solidFill>
              <w14:schemeClr w14:val="tx1"/>
            </w14:solidFill>
          </w14:textFill>
        </w:rPr>
        <w:t>3.如乙方或丙方委托提供代理服务的法人和自然人，因涉及乙方药品的回扣等医药商业贿赂行为，乙方或丙方承诺承担失信违约责任。</w:t>
      </w:r>
    </w:p>
    <w:p>
      <w:pPr>
        <w:rPr>
          <w:rFonts w:ascii="Times New Roman" w:hAnsi="Times New Roman"/>
          <w:color w:val="000000" w:themeColor="text1"/>
          <w14:textFill>
            <w14:solidFill>
              <w14:schemeClr w14:val="tx1"/>
            </w14:solidFill>
          </w14:textFill>
        </w:rPr>
      </w:pPr>
      <w:r>
        <w:rPr>
          <w:rFonts w:ascii="Times New Roman" w:hAnsi="Times New Roman" w:cs="Times New Roman"/>
          <w:bCs/>
          <w:color w:val="000000" w:themeColor="text1"/>
          <w:lang w:val="en-US"/>
          <w14:textFill>
            <w14:solidFill>
              <w14:schemeClr w14:val="tx1"/>
            </w14:solidFill>
          </w14:textFill>
        </w:rPr>
        <w:br w:type="page"/>
      </w:r>
      <w:r>
        <w:rPr>
          <w:rFonts w:ascii="Times New Roman" w:hAnsi="Times New Roman" w:eastAsia="黑体" w:cs="Times New Roman"/>
          <w:color w:val="000000" w:themeColor="text1"/>
          <w14:textFill>
            <w14:solidFill>
              <w14:schemeClr w14:val="tx1"/>
            </w14:solidFill>
          </w14:textFill>
        </w:rPr>
        <w:t>附件</w:t>
      </w:r>
    </w:p>
    <w:p>
      <w:pPr>
        <w:ind w:left="5"/>
        <w:rPr>
          <w:rFonts w:ascii="Times New Roman" w:hAnsi="Times New Roman" w:cs="Times New Roman"/>
          <w:color w:val="000000" w:themeColor="text1"/>
          <w14:textFill>
            <w14:solidFill>
              <w14:schemeClr w14:val="tx1"/>
            </w14:solidFill>
          </w14:textFill>
        </w:rPr>
      </w:pPr>
    </w:p>
    <w:p>
      <w:pPr>
        <w:ind w:left="5"/>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中选药品采购明细表</w:t>
      </w:r>
    </w:p>
    <w:p>
      <w:pPr>
        <w:ind w:left="5"/>
        <w:jc w:val="center"/>
        <w:rPr>
          <w:rFonts w:ascii="Times New Roman" w:hAnsi="Times New Roman" w:cs="Times New Roman"/>
          <w:b/>
          <w:bCs/>
          <w:color w:val="000000" w:themeColor="text1"/>
          <w14:textFill>
            <w14:solidFill>
              <w14:schemeClr w14:val="tx1"/>
            </w14:solidFill>
          </w14:textFill>
        </w:rPr>
      </w:pPr>
    </w:p>
    <w:tbl>
      <w:tblPr>
        <w:tblStyle w:val="1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25"/>
        <w:gridCol w:w="645"/>
        <w:gridCol w:w="570"/>
        <w:gridCol w:w="684"/>
        <w:gridCol w:w="675"/>
        <w:gridCol w:w="660"/>
        <w:gridCol w:w="900"/>
        <w:gridCol w:w="945"/>
        <w:gridCol w:w="1086"/>
        <w:gridCol w:w="9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产品名称</w:t>
            </w:r>
          </w:p>
        </w:tc>
        <w:tc>
          <w:tcPr>
            <w:tcW w:w="82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商品名</w:t>
            </w:r>
          </w:p>
        </w:tc>
        <w:tc>
          <w:tcPr>
            <w:tcW w:w="64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剂型</w:t>
            </w:r>
          </w:p>
        </w:tc>
        <w:tc>
          <w:tcPr>
            <w:tcW w:w="57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规格</w:t>
            </w:r>
          </w:p>
        </w:tc>
        <w:tc>
          <w:tcPr>
            <w:tcW w:w="684"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包装规格</w:t>
            </w:r>
          </w:p>
        </w:tc>
        <w:tc>
          <w:tcPr>
            <w:tcW w:w="67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规格属性</w:t>
            </w:r>
          </w:p>
        </w:tc>
        <w:tc>
          <w:tcPr>
            <w:tcW w:w="66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包装材质</w:t>
            </w:r>
          </w:p>
        </w:tc>
        <w:tc>
          <w:tcPr>
            <w:tcW w:w="90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生产企业</w:t>
            </w:r>
          </w:p>
        </w:tc>
        <w:tc>
          <w:tcPr>
            <w:tcW w:w="94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中选价格（元）</w:t>
            </w:r>
          </w:p>
        </w:tc>
        <w:tc>
          <w:tcPr>
            <w:tcW w:w="1086"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约定采购量</w:t>
            </w:r>
          </w:p>
        </w:tc>
        <w:tc>
          <w:tcPr>
            <w:tcW w:w="93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合计金额</w:t>
            </w:r>
          </w:p>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（元）</w:t>
            </w:r>
          </w:p>
        </w:tc>
        <w:tc>
          <w:tcPr>
            <w:tcW w:w="87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rPr>
                <w:rFonts w:ascii="Times New Roman" w:hAnsi="Times New Roman" w:cs="Times New Roman"/>
                <w:color w:val="000000" w:themeColor="text1"/>
                <w14:textFill>
                  <w14:solidFill>
                    <w14:schemeClr w14:val="tx1"/>
                  </w14:solidFill>
                </w14:textFill>
              </w:rPr>
            </w:pPr>
          </w:p>
        </w:tc>
        <w:tc>
          <w:tcPr>
            <w:tcW w:w="825" w:type="dxa"/>
          </w:tcPr>
          <w:p>
            <w:pPr>
              <w:rPr>
                <w:rFonts w:ascii="Times New Roman" w:hAnsi="Times New Roman" w:cs="Times New Roman"/>
                <w:color w:val="000000" w:themeColor="text1"/>
                <w14:textFill>
                  <w14:solidFill>
                    <w14:schemeClr w14:val="tx1"/>
                  </w14:solidFill>
                </w14:textFill>
              </w:rPr>
            </w:pPr>
          </w:p>
        </w:tc>
        <w:tc>
          <w:tcPr>
            <w:tcW w:w="645" w:type="dxa"/>
          </w:tcPr>
          <w:p>
            <w:pPr>
              <w:rPr>
                <w:rFonts w:ascii="Times New Roman" w:hAnsi="Times New Roman" w:cs="Times New Roman"/>
                <w:color w:val="000000" w:themeColor="text1"/>
                <w14:textFill>
                  <w14:solidFill>
                    <w14:schemeClr w14:val="tx1"/>
                  </w14:solidFill>
                </w14:textFill>
              </w:rPr>
            </w:pPr>
          </w:p>
        </w:tc>
        <w:tc>
          <w:tcPr>
            <w:tcW w:w="570" w:type="dxa"/>
          </w:tcPr>
          <w:p>
            <w:pPr>
              <w:rPr>
                <w:rFonts w:ascii="Times New Roman" w:hAnsi="Times New Roman" w:cs="Times New Roman"/>
                <w:color w:val="000000" w:themeColor="text1"/>
                <w14:textFill>
                  <w14:solidFill>
                    <w14:schemeClr w14:val="tx1"/>
                  </w14:solidFill>
                </w14:textFill>
              </w:rPr>
            </w:pPr>
          </w:p>
        </w:tc>
        <w:tc>
          <w:tcPr>
            <w:tcW w:w="684" w:type="dxa"/>
          </w:tcPr>
          <w:p>
            <w:pPr>
              <w:rPr>
                <w:rFonts w:ascii="Times New Roman" w:hAnsi="Times New Roman" w:cs="Times New Roman"/>
                <w:color w:val="000000" w:themeColor="text1"/>
                <w14:textFill>
                  <w14:solidFill>
                    <w14:schemeClr w14:val="tx1"/>
                  </w14:solidFill>
                </w14:textFill>
              </w:rPr>
            </w:pPr>
          </w:p>
        </w:tc>
        <w:tc>
          <w:tcPr>
            <w:tcW w:w="675" w:type="dxa"/>
          </w:tcPr>
          <w:p>
            <w:pPr>
              <w:rPr>
                <w:rFonts w:ascii="Times New Roman" w:hAnsi="Times New Roman" w:cs="Times New Roman"/>
                <w:color w:val="000000" w:themeColor="text1"/>
                <w14:textFill>
                  <w14:solidFill>
                    <w14:schemeClr w14:val="tx1"/>
                  </w14:solidFill>
                </w14:textFill>
              </w:rPr>
            </w:pPr>
          </w:p>
        </w:tc>
        <w:tc>
          <w:tcPr>
            <w:tcW w:w="660" w:type="dxa"/>
          </w:tcPr>
          <w:p>
            <w:pPr>
              <w:rPr>
                <w:rFonts w:ascii="Times New Roman" w:hAnsi="Times New Roman" w:cs="Times New Roman"/>
                <w:color w:val="000000" w:themeColor="text1"/>
                <w14:textFill>
                  <w14:solidFill>
                    <w14:schemeClr w14:val="tx1"/>
                  </w14:solidFill>
                </w14:textFill>
              </w:rPr>
            </w:pPr>
          </w:p>
        </w:tc>
        <w:tc>
          <w:tcPr>
            <w:tcW w:w="900" w:type="dxa"/>
          </w:tcPr>
          <w:p>
            <w:pPr>
              <w:rPr>
                <w:rFonts w:ascii="Times New Roman" w:hAnsi="Times New Roman" w:cs="Times New Roman"/>
                <w:color w:val="000000" w:themeColor="text1"/>
                <w14:textFill>
                  <w14:solidFill>
                    <w14:schemeClr w14:val="tx1"/>
                  </w14:solidFill>
                </w14:textFill>
              </w:rPr>
            </w:pPr>
          </w:p>
        </w:tc>
        <w:tc>
          <w:tcPr>
            <w:tcW w:w="945" w:type="dxa"/>
          </w:tcPr>
          <w:p>
            <w:pPr>
              <w:rPr>
                <w:rFonts w:ascii="Times New Roman" w:hAnsi="Times New Roman" w:cs="Times New Roman"/>
                <w:color w:val="000000" w:themeColor="text1"/>
                <w14:textFill>
                  <w14:solidFill>
                    <w14:schemeClr w14:val="tx1"/>
                  </w14:solidFill>
                </w14:textFill>
              </w:rPr>
            </w:pPr>
          </w:p>
        </w:tc>
        <w:tc>
          <w:tcPr>
            <w:tcW w:w="1086" w:type="dxa"/>
          </w:tcPr>
          <w:p>
            <w:pPr>
              <w:rPr>
                <w:rFonts w:ascii="Times New Roman" w:hAnsi="Times New Roman" w:cs="Times New Roman"/>
                <w:color w:val="000000" w:themeColor="text1"/>
                <w14:textFill>
                  <w14:solidFill>
                    <w14:schemeClr w14:val="tx1"/>
                  </w14:solidFill>
                </w14:textFill>
              </w:rPr>
            </w:pPr>
          </w:p>
        </w:tc>
        <w:tc>
          <w:tcPr>
            <w:tcW w:w="930" w:type="dxa"/>
          </w:tcPr>
          <w:p>
            <w:pPr>
              <w:rPr>
                <w:rFonts w:ascii="Times New Roman" w:hAnsi="Times New Roman" w:cs="Times New Roman"/>
                <w:color w:val="000000" w:themeColor="text1"/>
                <w14:textFill>
                  <w14:solidFill>
                    <w14:schemeClr w14:val="tx1"/>
                  </w14:solidFill>
                </w14:textFill>
              </w:rPr>
            </w:pPr>
          </w:p>
        </w:tc>
        <w:tc>
          <w:tcPr>
            <w:tcW w:w="870" w:type="dxa"/>
          </w:tcPr>
          <w:p>
            <w:pPr>
              <w:rPr>
                <w:rFonts w:ascii="Times New Roman" w:hAnsi="Times New Roman" w:cs="Times New Roman"/>
                <w:color w:val="000000" w:themeColor="text1"/>
                <w14:textFill>
                  <w14:solidFill>
                    <w14:schemeClr w14:val="tx1"/>
                  </w14:solidFill>
                </w14:textFill>
              </w:rPr>
            </w:pPr>
          </w:p>
        </w:tc>
      </w:tr>
      <w:bookmarkEnd w:id="38"/>
      <w:bookmarkEnd w:id="39"/>
    </w:tbl>
    <w:p>
      <w:pPr>
        <w:keepNext w:val="0"/>
        <w:keepLines w:val="0"/>
        <w:widowControl/>
        <w:suppressLineNumbers w:val="0"/>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tbl>
      <w:tblPr>
        <w:tblStyle w:val="13"/>
        <w:tblW w:w="9196" w:type="dxa"/>
        <w:tblInd w:w="0" w:type="dxa"/>
        <w:shd w:val="clear" w:color="auto" w:fill="auto"/>
        <w:tblLayout w:type="fixed"/>
        <w:tblCellMar>
          <w:top w:w="0" w:type="dxa"/>
          <w:left w:w="0" w:type="dxa"/>
          <w:bottom w:w="0" w:type="dxa"/>
          <w:right w:w="0" w:type="dxa"/>
        </w:tblCellMar>
      </w:tblPr>
      <w:tblGrid>
        <w:gridCol w:w="811"/>
        <w:gridCol w:w="705"/>
        <w:gridCol w:w="975"/>
        <w:gridCol w:w="2925"/>
        <w:gridCol w:w="1755"/>
        <w:gridCol w:w="2025"/>
      </w:tblGrid>
      <w:tr>
        <w:tblPrEx>
          <w:shd w:val="clear" w:color="auto" w:fill="auto"/>
          <w:tblCellMar>
            <w:top w:w="0" w:type="dxa"/>
            <w:left w:w="0" w:type="dxa"/>
            <w:bottom w:w="0" w:type="dxa"/>
            <w:right w:w="0" w:type="dxa"/>
          </w:tblCellMar>
        </w:tblPrEx>
        <w:trPr>
          <w:trHeight w:val="312" w:hRule="atLeast"/>
        </w:trPr>
        <w:tc>
          <w:tcPr>
            <w:tcW w:w="9196"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pStyle w:val="2"/>
              <w:jc w:val="center"/>
              <w:rPr>
                <w:rFonts w:hint="default" w:eastAsia="方正仿宋简体"/>
                <w:lang w:val="en-US" w:eastAsia="zh-CN"/>
              </w:rPr>
            </w:pPr>
            <w:r>
              <w:rPr>
                <w:rFonts w:hint="eastAsia" w:ascii="方正小标宋简体" w:hAnsi="方正小标宋简体" w:eastAsia="方正小标宋简体" w:cs="方正小标宋简体"/>
                <w:color w:val="000000" w:themeColor="text1"/>
                <w:sz w:val="36"/>
                <w:szCs w:val="36"/>
                <w:lang w:val="en-US"/>
                <w14:textFill>
                  <w14:solidFill>
                    <w14:schemeClr w14:val="tx1"/>
                  </w14:solidFill>
                </w14:textFill>
              </w:rPr>
              <w:t>联盟地区药品集团带量采购产品清单</w:t>
            </w:r>
          </w:p>
        </w:tc>
      </w:tr>
      <w:tr>
        <w:tblPrEx>
          <w:tblCellMar>
            <w:top w:w="0" w:type="dxa"/>
            <w:left w:w="0" w:type="dxa"/>
            <w:bottom w:w="0" w:type="dxa"/>
            <w:right w:w="0" w:type="dxa"/>
          </w:tblCellMar>
        </w:tblPrEx>
        <w:trPr>
          <w:trHeight w:val="52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奥美拉唑口服常释剂型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52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蒙脱石口服散剂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6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蒙脱石颗粒剂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58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氯吡格雷口服常释剂型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75mg</w:t>
            </w:r>
          </w:p>
        </w:tc>
      </w:tr>
      <w:tr>
        <w:tblPrEx>
          <w:tblCellMar>
            <w:top w:w="0" w:type="dxa"/>
            <w:left w:w="0" w:type="dxa"/>
            <w:bottom w:w="0" w:type="dxa"/>
            <w:right w:w="0" w:type="dxa"/>
          </w:tblCellMar>
        </w:tblPrEx>
        <w:trPr>
          <w:trHeight w:val="494"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tblCellMar>
            <w:top w:w="0" w:type="dxa"/>
            <w:left w:w="0" w:type="dxa"/>
            <w:bottom w:w="0" w:type="dxa"/>
            <w:right w:w="0" w:type="dxa"/>
          </w:tblCellMar>
        </w:tblPrEx>
        <w:trPr>
          <w:trHeight w:val="50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tblCellMar>
            <w:top w:w="0" w:type="dxa"/>
            <w:left w:w="0" w:type="dxa"/>
            <w:bottom w:w="0" w:type="dxa"/>
            <w:right w:w="0" w:type="dxa"/>
          </w:tblCellMar>
        </w:tblPrEx>
        <w:trPr>
          <w:trHeight w:val="451"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1ml:0.5mg</w:t>
            </w:r>
          </w:p>
        </w:tc>
      </w:tr>
      <w:tr>
        <w:tblPrEx>
          <w:tblCellMar>
            <w:top w:w="0" w:type="dxa"/>
            <w:left w:w="0" w:type="dxa"/>
            <w:bottom w:w="0" w:type="dxa"/>
            <w:right w:w="0" w:type="dxa"/>
          </w:tblCellMar>
        </w:tblPrEx>
        <w:trPr>
          <w:trHeight w:val="481"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1ml:0.5mg</w:t>
            </w:r>
          </w:p>
        </w:tc>
      </w:tr>
      <w:tr>
        <w:tblPrEx>
          <w:tblCellMar>
            <w:top w:w="0" w:type="dxa"/>
            <w:left w:w="0" w:type="dxa"/>
            <w:bottom w:w="0" w:type="dxa"/>
            <w:right w:w="0" w:type="dxa"/>
          </w:tblCellMar>
        </w:tblPrEx>
        <w:trPr>
          <w:trHeight w:val="56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氨氯地平口服常释剂型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3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氨氯地平滴丸剂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滴丸剂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54"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依那普利口服常释剂型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3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依那普利口腔崩解片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6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福辛普利口服常释剂型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67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福辛普利口服常释剂型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赖诺普利口服常释剂型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赖诺普利口服常释剂型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厄贝沙坦口服常释剂型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75mg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氯沙坦口服常释剂型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6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厄贝沙坦氢氯噻嗪口服常释剂型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厄贝沙坦150mg,氢氯噻嗪12.5mg</w:t>
            </w:r>
          </w:p>
        </w:tc>
      </w:tr>
      <w:tr>
        <w:tblPrEx>
          <w:tblCellMar>
            <w:top w:w="0" w:type="dxa"/>
            <w:left w:w="0" w:type="dxa"/>
            <w:bottom w:w="0" w:type="dxa"/>
            <w:right w:w="0" w:type="dxa"/>
          </w:tblCellMar>
        </w:tblPrEx>
        <w:trPr>
          <w:trHeight w:val="76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阿托伐他汀口服常释剂型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71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瑞舒伐他汀口服常释剂型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65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tblCellMar>
            <w:top w:w="0" w:type="dxa"/>
            <w:left w:w="0" w:type="dxa"/>
            <w:bottom w:w="0" w:type="dxa"/>
            <w:right w:w="0" w:type="dxa"/>
          </w:tblCellMar>
        </w:tblPrEx>
        <w:trPr>
          <w:trHeight w:val="65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100ml:0.2g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100ml:0.2g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环丙沙星滴耳剂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滴耳剂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5ml:15mg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环丙沙星滴眼剂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5ml:15mg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环丙沙星眼膏剂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2.5g:7.5mg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6类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环丙沙星缓释控释剂型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缓释片</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环丙沙星凝胶剂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软膏剂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10g:30mg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环丙沙星软膏剂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软膏剂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10g:30mg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8类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栓剂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9类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环丙沙星阴道泡腾片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阴道泡腾片</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非那雄胺口服常释剂型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阿莫西林颗粒剂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阿莫西林咀嚼片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头孢呋辛酯口服常释剂型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头孢呋辛酯口服液体剂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头孢呋辛酯颗粒剂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左氧氟沙星滴眼剂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5ml:24.4mg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左氧氟沙星滴耳剂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滴耳剂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5ml:25mg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左氧氟沙星软膏剂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乳膏剂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15g:45mg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左氧氟沙星眼用凝胶剂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5g:15mg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莫西沙星注射剂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20ml:0.4g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利奈唑胺口服液体剂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0.6g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利奈唑胺口服常释剂型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0.6g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恩替卡韦口服常释剂型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恩替卡韦口服液体剂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替诺福韦二吡呋酯口服常释剂型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0.3g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23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培美曲塞注射剂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0.1g</w:t>
            </w:r>
          </w:p>
        </w:tc>
      </w:tr>
      <w:tr>
        <w:tblPrEx>
          <w:tblCellMar>
            <w:top w:w="0" w:type="dxa"/>
            <w:left w:w="0" w:type="dxa"/>
            <w:bottom w:w="0" w:type="dxa"/>
            <w:right w:w="0" w:type="dxa"/>
          </w:tblCellMar>
        </w:tblPrEx>
        <w:trPr>
          <w:trHeight w:val="5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卡培他滨口服常释剂型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5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阿扎胞苷注射剂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100mg</w:t>
            </w:r>
          </w:p>
        </w:tc>
      </w:tr>
      <w:tr>
        <w:tblPrEx>
          <w:tblCellMar>
            <w:top w:w="0" w:type="dxa"/>
            <w:left w:w="0" w:type="dxa"/>
            <w:bottom w:w="0" w:type="dxa"/>
            <w:right w:w="0" w:type="dxa"/>
          </w:tblCellMar>
        </w:tblPrEx>
        <w:trPr>
          <w:trHeight w:val="61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吉非替尼口服常释剂型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0.25g</w:t>
            </w:r>
          </w:p>
        </w:tc>
      </w:tr>
      <w:tr>
        <w:tblPrEx>
          <w:tblCellMar>
            <w:top w:w="0" w:type="dxa"/>
            <w:left w:w="0" w:type="dxa"/>
            <w:bottom w:w="0" w:type="dxa"/>
            <w:right w:w="0" w:type="dxa"/>
          </w:tblCellMar>
        </w:tblPrEx>
        <w:trPr>
          <w:trHeight w:val="59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伊马替尼口服常释剂型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100mg</w:t>
            </w:r>
          </w:p>
        </w:tc>
      </w:tr>
      <w:tr>
        <w:tblPrEx>
          <w:tblCellMar>
            <w:top w:w="0" w:type="dxa"/>
            <w:left w:w="0" w:type="dxa"/>
            <w:bottom w:w="0" w:type="dxa"/>
            <w:right w:w="0" w:type="dxa"/>
          </w:tblCellMar>
        </w:tblPrEx>
        <w:trPr>
          <w:trHeight w:val="55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来曲唑口服常释剂型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tblCellMar>
            <w:top w:w="0" w:type="dxa"/>
            <w:left w:w="0" w:type="dxa"/>
            <w:bottom w:w="0" w:type="dxa"/>
            <w:right w:w="0" w:type="dxa"/>
          </w:tblCellMar>
        </w:tblPrEx>
        <w:trPr>
          <w:trHeight w:val="65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氟比洛芬酯注射剂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5ml:50mg</w:t>
            </w:r>
          </w:p>
        </w:tc>
      </w:tr>
      <w:tr>
        <w:tblPrEx>
          <w:tblCellMar>
            <w:top w:w="0" w:type="dxa"/>
            <w:left w:w="0" w:type="dxa"/>
            <w:bottom w:w="0" w:type="dxa"/>
            <w:right w:w="0" w:type="dxa"/>
          </w:tblCellMar>
        </w:tblPrEx>
        <w:trPr>
          <w:trHeight w:val="61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氟比洛芬缓释控释剂型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缓释控释剂型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0.2g</w:t>
            </w:r>
          </w:p>
        </w:tc>
      </w:tr>
      <w:tr>
        <w:tblPrEx>
          <w:tblCellMar>
            <w:top w:w="0" w:type="dxa"/>
            <w:left w:w="0" w:type="dxa"/>
            <w:bottom w:w="0" w:type="dxa"/>
            <w:right w:w="0" w:type="dxa"/>
          </w:tblCellMar>
        </w:tblPrEx>
        <w:trPr>
          <w:trHeight w:val="66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13.6cm×10cm              （含氟比洛芬40mg）</w:t>
            </w:r>
          </w:p>
        </w:tc>
      </w:tr>
      <w:tr>
        <w:tblPrEx>
          <w:tblCellMar>
            <w:top w:w="0" w:type="dxa"/>
            <w:left w:w="0" w:type="dxa"/>
            <w:bottom w:w="0" w:type="dxa"/>
            <w:right w:w="0" w:type="dxa"/>
          </w:tblCellMar>
        </w:tblPrEx>
        <w:trPr>
          <w:trHeight w:val="6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洛索洛芬贴剂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14cm×10cm                 （含洛索洛芬钠100mg）</w:t>
            </w:r>
          </w:p>
        </w:tc>
      </w:tr>
      <w:tr>
        <w:tblPrEx>
          <w:tblCellMar>
            <w:top w:w="0" w:type="dxa"/>
            <w:left w:w="0" w:type="dxa"/>
            <w:bottom w:w="0" w:type="dxa"/>
            <w:right w:w="0" w:type="dxa"/>
          </w:tblCellMar>
        </w:tblPrEx>
        <w:trPr>
          <w:trHeight w:val="6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13.6cm×10cm                    （含氟比洛芬40mg）</w:t>
            </w:r>
          </w:p>
        </w:tc>
      </w:tr>
      <w:tr>
        <w:tblPrEx>
          <w:tblCellMar>
            <w:top w:w="0" w:type="dxa"/>
            <w:left w:w="0" w:type="dxa"/>
            <w:bottom w:w="0" w:type="dxa"/>
            <w:right w:w="0" w:type="dxa"/>
          </w:tblCellMar>
        </w:tblPrEx>
        <w:trPr>
          <w:trHeight w:val="74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洛索洛芬贴剂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7cm×10cm                           （含洛索洛芬钠50mg）</w:t>
            </w:r>
          </w:p>
        </w:tc>
      </w:tr>
      <w:tr>
        <w:tblPrEx>
          <w:tblCellMar>
            <w:top w:w="0" w:type="dxa"/>
            <w:left w:w="0" w:type="dxa"/>
            <w:bottom w:w="0" w:type="dxa"/>
            <w:right w:w="0" w:type="dxa"/>
          </w:tblCellMar>
        </w:tblPrEx>
        <w:trPr>
          <w:trHeight w:val="50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依托考昔口服常释剂型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60mg</w:t>
            </w:r>
          </w:p>
        </w:tc>
      </w:tr>
      <w:tr>
        <w:tblPrEx>
          <w:tblCellMar>
            <w:top w:w="0" w:type="dxa"/>
            <w:left w:w="0" w:type="dxa"/>
            <w:bottom w:w="0" w:type="dxa"/>
            <w:right w:w="0" w:type="dxa"/>
          </w:tblCellMar>
        </w:tblPrEx>
        <w:trPr>
          <w:trHeight w:val="50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左乙拉西坦缓释控释剂型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缓释控释剂型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49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61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52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5ml:0.5g</w:t>
            </w:r>
          </w:p>
        </w:tc>
      </w:tr>
      <w:tr>
        <w:tblPrEx>
          <w:tblCellMar>
            <w:top w:w="0" w:type="dxa"/>
            <w:left w:w="0" w:type="dxa"/>
            <w:bottom w:w="0" w:type="dxa"/>
            <w:right w:w="0" w:type="dxa"/>
          </w:tblCellMar>
        </w:tblPrEx>
        <w:trPr>
          <w:trHeight w:val="56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47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氯氮平口服常释剂型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tblCellMar>
            <w:top w:w="0" w:type="dxa"/>
            <w:left w:w="0" w:type="dxa"/>
            <w:bottom w:w="0" w:type="dxa"/>
            <w:right w:w="0" w:type="dxa"/>
          </w:tblCellMar>
        </w:tblPrEx>
        <w:trPr>
          <w:trHeight w:val="58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氯氮平口腔崩解片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tblCellMar>
            <w:top w:w="0" w:type="dxa"/>
            <w:left w:w="0" w:type="dxa"/>
            <w:bottom w:w="0" w:type="dxa"/>
            <w:right w:w="0" w:type="dxa"/>
          </w:tblCellMar>
        </w:tblPrEx>
        <w:trPr>
          <w:trHeight w:val="56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奥氮平口服常释剂型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8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奥氮平膜剂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62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34</w:t>
            </w: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华文宋体" w:hAnsi="华文宋体" w:eastAsia="华文宋体" w:cs="华文宋体"/>
                <w:i w:val="0"/>
                <w:color w:val="000000"/>
                <w:sz w:val="18"/>
                <w:szCs w:val="18"/>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4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 xml:space="preserve">过评      </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tblCellMar>
            <w:top w:w="0" w:type="dxa"/>
            <w:left w:w="0" w:type="dxa"/>
            <w:bottom w:w="0" w:type="dxa"/>
            <w:right w:w="0" w:type="dxa"/>
          </w:tblCellMar>
        </w:tblPrEx>
        <w:trPr>
          <w:trHeight w:val="432" w:hRule="atLeast"/>
        </w:trPr>
        <w:tc>
          <w:tcPr>
            <w:tcW w:w="81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i w:val="0"/>
                <w:color w:val="000000"/>
                <w:kern w:val="0"/>
                <w:sz w:val="18"/>
                <w:szCs w:val="18"/>
                <w:u w:val="none"/>
                <w:lang w:val="en-US" w:eastAsia="zh-CN" w:bidi="ar"/>
              </w:rPr>
              <w:t>6类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利培酮注射剂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25mg</w:t>
            </w:r>
          </w:p>
        </w:tc>
      </w:tr>
      <w:tr>
        <w:tblPrEx>
          <w:tblCellMar>
            <w:top w:w="0" w:type="dxa"/>
            <w:left w:w="0" w:type="dxa"/>
            <w:bottom w:w="0" w:type="dxa"/>
            <w:right w:w="0" w:type="dxa"/>
          </w:tblCellMar>
        </w:tblPrEx>
        <w:trPr>
          <w:trHeight w:val="44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右佐匹克隆口服常释剂型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3mg</w:t>
            </w:r>
          </w:p>
        </w:tc>
      </w:tr>
      <w:tr>
        <w:tblPrEx>
          <w:tblCellMar>
            <w:top w:w="0" w:type="dxa"/>
            <w:left w:w="0" w:type="dxa"/>
            <w:bottom w:w="0" w:type="dxa"/>
            <w:right w:w="0" w:type="dxa"/>
          </w:tblCellMar>
        </w:tblPrEx>
        <w:trPr>
          <w:trHeight w:val="43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右美托咪定注射剂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2ml:0.2mg（200μg）</w:t>
            </w:r>
          </w:p>
        </w:tc>
      </w:tr>
      <w:tr>
        <w:tblPrEx>
          <w:tblCellMar>
            <w:top w:w="0" w:type="dxa"/>
            <w:left w:w="0" w:type="dxa"/>
            <w:bottom w:w="0" w:type="dxa"/>
            <w:right w:w="0" w:type="dxa"/>
          </w:tblCellMar>
        </w:tblPrEx>
        <w:trPr>
          <w:trHeight w:val="44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帕罗西汀口服常释剂型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7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艾司西酞普兰口服常释剂型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舍曲林口服常释剂型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舍曲林口服常释剂型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西酞普兰口服常释剂型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西酞普兰口服常释剂型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西酞普兰口服液体剂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地氯雷他定口服常释剂型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地氯雷他定口服常释剂型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华文宋体" w:hAnsi="华文宋体" w:eastAsia="华文宋体" w:cs="华文宋体"/>
                <w:i w:val="0"/>
                <w:color w:val="000000"/>
                <w:sz w:val="18"/>
                <w:szCs w:val="18"/>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地氯雷他定口服液体剂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464" w:hRule="atLeast"/>
        </w:trPr>
        <w:tc>
          <w:tcPr>
            <w:tcW w:w="81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孟鲁司特口服常释剂型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524" w:hRule="atLeast"/>
        </w:trPr>
        <w:tc>
          <w:tcPr>
            <w:tcW w:w="81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孟鲁司特膜剂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膜剂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4mg</w:t>
            </w:r>
          </w:p>
        </w:tc>
      </w:tr>
      <w:tr>
        <w:tblPrEx>
          <w:tblCellMar>
            <w:top w:w="0" w:type="dxa"/>
            <w:left w:w="0" w:type="dxa"/>
            <w:bottom w:w="0" w:type="dxa"/>
            <w:right w:w="0" w:type="dxa"/>
          </w:tblCellMar>
        </w:tblPrEx>
        <w:trPr>
          <w:trHeight w:val="49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华文宋体" w:hAnsi="华文宋体" w:eastAsia="华文宋体" w:cs="华文宋体"/>
                <w:i w:val="0"/>
                <w:color w:val="000000"/>
                <w:sz w:val="18"/>
                <w:szCs w:val="18"/>
                <w:u w:val="none"/>
                <w:lang w:val="en-US"/>
              </w:rPr>
            </w:pPr>
            <w:r>
              <w:rPr>
                <w:rFonts w:hint="eastAsia" w:ascii="华文宋体" w:hAnsi="华文宋体" w:eastAsia="华文宋体" w:cs="华文宋体"/>
                <w:i w:val="0"/>
                <w:color w:val="000000"/>
                <w:kern w:val="0"/>
                <w:sz w:val="18"/>
                <w:szCs w:val="18"/>
                <w:u w:val="none"/>
                <w:lang w:val="en-US" w:eastAsia="zh-CN" w:bidi="ar"/>
              </w:rPr>
              <w:t>44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达泊西汀口服常释剂型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30mg</w:t>
            </w:r>
          </w:p>
        </w:tc>
      </w:tr>
      <w:tr>
        <w:tblPrEx>
          <w:tblCellMar>
            <w:top w:w="0" w:type="dxa"/>
            <w:left w:w="0" w:type="dxa"/>
            <w:bottom w:w="0" w:type="dxa"/>
            <w:right w:w="0" w:type="dxa"/>
          </w:tblCellMar>
        </w:tblPrEx>
        <w:trPr>
          <w:trHeight w:val="496"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华文宋体" w:hAnsi="华文宋体" w:eastAsia="华文宋体" w:cs="华文宋体"/>
                <w:i w:val="0"/>
                <w:color w:val="000000"/>
                <w:sz w:val="18"/>
                <w:szCs w:val="18"/>
                <w:u w:val="none"/>
                <w:lang w:val="en-US"/>
              </w:rPr>
            </w:pPr>
            <w:r>
              <w:rPr>
                <w:rFonts w:hint="eastAsia" w:ascii="华文宋体" w:hAnsi="华文宋体" w:eastAsia="华文宋体" w:cs="华文宋体"/>
                <w:i w:val="0"/>
                <w:color w:val="000000"/>
                <w:kern w:val="0"/>
                <w:sz w:val="18"/>
                <w:szCs w:val="18"/>
                <w:u w:val="none"/>
                <w:lang w:val="en-US" w:eastAsia="zh-CN" w:bidi="ar"/>
              </w:rPr>
              <w:t>45</w:t>
            </w: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西地那非口服常释剂型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51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华文宋体" w:hAnsi="华文宋体" w:eastAsia="华文宋体" w:cs="华文宋体"/>
                <w:i w:val="0"/>
                <w:color w:val="000000"/>
                <w:sz w:val="18"/>
                <w:szCs w:val="18"/>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西地那非口崩片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bl>
    <w:p>
      <w:pPr>
        <w:pStyle w:val="2"/>
        <w:rPr>
          <w:rFonts w:hint="eastAsia" w:asciiTheme="majorEastAsia" w:hAnsiTheme="majorEastAsia" w:eastAsiaTheme="majorEastAsia" w:cstheme="majorEastAsia"/>
          <w:color w:val="000000" w:themeColor="text1"/>
          <w:kern w:val="2"/>
          <w:sz w:val="21"/>
          <w:szCs w:val="21"/>
          <w:lang w:val="en-US" w:eastAsia="zh-CN"/>
          <w14:textFill>
            <w14:solidFill>
              <w14:schemeClr w14:val="tx1"/>
            </w14:solidFill>
          </w14:textFill>
        </w:rPr>
      </w:pPr>
    </w:p>
    <w:p>
      <w:pPr>
        <w:pStyle w:val="2"/>
        <w:ind w:firstLine="420" w:firstLineChars="200"/>
        <w:rPr>
          <w:rFonts w:hint="eastAsia" w:asciiTheme="majorEastAsia" w:hAnsiTheme="majorEastAsia" w:eastAsiaTheme="majorEastAsia" w:cstheme="majorEastAsia"/>
          <w:color w:val="000000" w:themeColor="text1"/>
          <w:kern w:val="2"/>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14:textFill>
            <w14:solidFill>
              <w14:schemeClr w14:val="tx1"/>
            </w14:solidFill>
          </w14:textFill>
        </w:rPr>
        <w:t>备注：</w:t>
      </w:r>
      <w:r>
        <w:rPr>
          <w:rFonts w:hint="eastAsia" w:asciiTheme="majorEastAsia" w:hAnsiTheme="majorEastAsia" w:eastAsiaTheme="majorEastAsia" w:cstheme="majorEastAsia"/>
          <w:sz w:val="21"/>
          <w:szCs w:val="21"/>
        </w:rPr>
        <w:t>注射剂型包括注射剂、氯化钠注射液、葡萄糖注射液</w:t>
      </w:r>
      <w:r>
        <w:rPr>
          <w:rFonts w:hint="eastAsia" w:asciiTheme="majorEastAsia" w:hAnsiTheme="majorEastAsia" w:eastAsiaTheme="majorEastAsia" w:cstheme="majorEastAsia"/>
          <w:sz w:val="21"/>
          <w:szCs w:val="21"/>
          <w:lang w:eastAsia="zh-CN"/>
        </w:rPr>
        <w:t>。</w:t>
      </w:r>
    </w:p>
    <w:sectPr>
      <w:pgSz w:w="11910" w:h="16840"/>
      <w:pgMar w:top="1580" w:right="1040" w:bottom="1220" w:left="1300" w:header="1145" w:footer="103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9895205</wp:posOffset>
              </wp:positionV>
              <wp:extent cx="40195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- 19 -</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1661312;mso-width-relative:page;mso-height-relative:page;" filled="f" stroked="f" coordsize="21600,21600" o:gfxdata="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b/usNcAAAAJAQAADwAAAAAAAAABACAAAAAiAAAAZHJzL2Rvd25yZXYu&#10;eG1sUEsBAhQAFAAAAAgAh07iQOfVOR/8AQAAAwQAAA4AAAAAAAAAAQAgAAAAJgEAAGRycy9lMm9E&#10;b2MueG1sUEsFBgAAAAAGAAYAWQEAAJQ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714375</wp:posOffset>
              </wp:positionV>
              <wp:extent cx="2766695" cy="1524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6695" cy="152400"/>
                      </a:xfrm>
                      <a:prstGeom prst="rect">
                        <a:avLst/>
                      </a:prstGeom>
                      <a:noFill/>
                      <a:ln>
                        <a:noFill/>
                      </a:ln>
                    </wps:spPr>
                    <wps:txbx>
                      <w:txbxContent>
                        <w:p>
                          <w:pPr>
                            <w:spacing w:line="220" w:lineRule="exact"/>
                            <w:ind w:left="20"/>
                            <w:rPr>
                              <w:sz w:val="15"/>
                              <w:szCs w:val="15"/>
                            </w:rPr>
                          </w:pPr>
                          <w:r>
                            <w:rPr>
                              <w:rFonts w:hint="eastAsia" w:ascii="Times New Roman" w:hAnsi="Times New Roman" w:cs="Times New Roman"/>
                              <w:color w:val="000000" w:themeColor="text1"/>
                              <w:sz w:val="15"/>
                              <w:szCs w:val="15"/>
                              <w:lang w:val="en-US"/>
                              <w14:textFill>
                                <w14:solidFill>
                                  <w14:schemeClr w14:val="tx1"/>
                                </w14:solidFill>
                              </w14:textFill>
                            </w:rPr>
                            <w:t>阿莫西林等45个</w:t>
                          </w:r>
                          <w:r>
                            <w:rPr>
                              <w:rFonts w:ascii="Times New Roman" w:hAnsi="Times New Roman" w:cs="Times New Roman"/>
                              <w:color w:val="000000" w:themeColor="text1"/>
                              <w:sz w:val="15"/>
                              <w:szCs w:val="15"/>
                              <w:lang w:val="en-US"/>
                              <w14:textFill>
                                <w14:solidFill>
                                  <w14:schemeClr w14:val="tx1"/>
                                </w14:solidFill>
                              </w14:textFill>
                            </w:rPr>
                            <w:t>药品</w:t>
                          </w:r>
                          <w:r>
                            <w:rPr>
                              <w:rFonts w:hint="eastAsia"/>
                              <w:sz w:val="15"/>
                              <w:szCs w:val="15"/>
                              <w:lang w:val="en-US"/>
                            </w:rPr>
                            <w:t>联盟地区集团带量采购文件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2pt;width:217.85pt;mso-position-horizontal-relative:page;mso-position-vertical-relative:page;z-index:-251656192;mso-width-relative:page;mso-height-relative:page;" filled="f" stroked="f" coordsize="21600,21600" o:gfxdata="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235z9gAAAALAQAADwAAAAAAAAABACAAAAAiAAAAZHJzL2Rvd25y&#10;ZXYueG1sUEsBAhQAFAAAAAgAh07iQHV/Vor+AQAABAQAAA4AAAAAAAAAAQAgAAAAJwEAAGRycy9l&#10;Mm9Eb2MueG1sUEsFBgAAAAAGAAYAWQEAAJcFAAAAAA==&#10;">
              <v:fill on="f" focussize="0,0"/>
              <v:stroke on="f"/>
              <v:imagedata o:title=""/>
              <o:lock v:ext="edit" aspectratio="f"/>
              <v:textbox inset="0mm,0mm,0mm,0mm">
                <w:txbxContent>
                  <w:p>
                    <w:pPr>
                      <w:spacing w:line="220" w:lineRule="exact"/>
                      <w:ind w:left="20"/>
                      <w:rPr>
                        <w:sz w:val="15"/>
                        <w:szCs w:val="15"/>
                      </w:rPr>
                    </w:pPr>
                    <w:r>
                      <w:rPr>
                        <w:rFonts w:hint="eastAsia" w:ascii="Times New Roman" w:hAnsi="Times New Roman" w:cs="Times New Roman"/>
                        <w:color w:val="000000" w:themeColor="text1"/>
                        <w:sz w:val="15"/>
                        <w:szCs w:val="15"/>
                        <w:lang w:val="en-US"/>
                        <w14:textFill>
                          <w14:solidFill>
                            <w14:schemeClr w14:val="tx1"/>
                          </w14:solidFill>
                        </w14:textFill>
                      </w:rPr>
                      <w:t>阿莫西林等45个</w:t>
                    </w:r>
                    <w:r>
                      <w:rPr>
                        <w:rFonts w:ascii="Times New Roman" w:hAnsi="Times New Roman" w:cs="Times New Roman"/>
                        <w:color w:val="000000" w:themeColor="text1"/>
                        <w:sz w:val="15"/>
                        <w:szCs w:val="15"/>
                        <w:lang w:val="en-US"/>
                        <w14:textFill>
                          <w14:solidFill>
                            <w14:schemeClr w14:val="tx1"/>
                          </w14:solidFill>
                        </w14:textFill>
                      </w:rPr>
                      <w:t>药品</w:t>
                    </w:r>
                    <w:r>
                      <w:rPr>
                        <w:rFonts w:hint="eastAsia"/>
                        <w:sz w:val="15"/>
                        <w:szCs w:val="15"/>
                        <w:lang w:val="en-US"/>
                      </w:rPr>
                      <w:t>联盟地区集团带量采购文件</w:t>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972185</wp:posOffset>
              </wp:positionH>
              <wp:positionV relativeFrom="page">
                <wp:posOffset>912495</wp:posOffset>
              </wp:positionV>
              <wp:extent cx="5615940"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1657216;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kFiqMNQBAAC4AwAADgAAAAAAAAAB&#10;ACAAAAAmAQAAZHJzL2Uyb0RvYy54bWxQSwUGAAAAAAYABgBZAQAAbA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5C1D4"/>
    <w:multiLevelType w:val="singleLevel"/>
    <w:tmpl w:val="C8F5C1D4"/>
    <w:lvl w:ilvl="0" w:tentative="0">
      <w:start w:val="2"/>
      <w:numFmt w:val="decimal"/>
      <w:suff w:val="nothing"/>
      <w:lvlText w:val="（%1）"/>
      <w:lvlJc w:val="left"/>
    </w:lvl>
  </w:abstractNum>
  <w:abstractNum w:abstractNumId="1">
    <w:nsid w:val="4FCC7EBE"/>
    <w:multiLevelType w:val="singleLevel"/>
    <w:tmpl w:val="4FCC7EBE"/>
    <w:lvl w:ilvl="0" w:tentative="0">
      <w:start w:val="2"/>
      <w:numFmt w:val="chineseCounting"/>
      <w:suff w:val="nothing"/>
      <w:lvlText w:val="（%1）"/>
      <w:lvlJc w:val="left"/>
      <w:rPr>
        <w:rFonts w:hint="eastAsia"/>
      </w:rPr>
    </w:lvl>
  </w:abstractNum>
  <w:abstractNum w:abstractNumId="2">
    <w:nsid w:val="52B466AC"/>
    <w:multiLevelType w:val="singleLevel"/>
    <w:tmpl w:val="52B466AC"/>
    <w:lvl w:ilvl="0" w:tentative="0">
      <w:start w:val="1"/>
      <w:numFmt w:val="decimal"/>
      <w:suff w:val="nothing"/>
      <w:lvlText w:val="（%1）"/>
      <w:lvlJc w:val="left"/>
      <w:pPr>
        <w:ind w:left="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BF"/>
    <w:rsid w:val="00007569"/>
    <w:rsid w:val="00020FB7"/>
    <w:rsid w:val="000219C4"/>
    <w:rsid w:val="0002469B"/>
    <w:rsid w:val="000261F2"/>
    <w:rsid w:val="00044884"/>
    <w:rsid w:val="0005057F"/>
    <w:rsid w:val="000531E2"/>
    <w:rsid w:val="000726EE"/>
    <w:rsid w:val="00090772"/>
    <w:rsid w:val="000B4B6A"/>
    <w:rsid w:val="000C1143"/>
    <w:rsid w:val="000C2772"/>
    <w:rsid w:val="000D4E07"/>
    <w:rsid w:val="000D65B6"/>
    <w:rsid w:val="0011373A"/>
    <w:rsid w:val="001166F0"/>
    <w:rsid w:val="00141631"/>
    <w:rsid w:val="001446F0"/>
    <w:rsid w:val="001610C0"/>
    <w:rsid w:val="001632CC"/>
    <w:rsid w:val="001812B4"/>
    <w:rsid w:val="00186B30"/>
    <w:rsid w:val="001A2C93"/>
    <w:rsid w:val="001B0020"/>
    <w:rsid w:val="001B56FA"/>
    <w:rsid w:val="001C0F31"/>
    <w:rsid w:val="001D1EE3"/>
    <w:rsid w:val="001D446F"/>
    <w:rsid w:val="001E5E12"/>
    <w:rsid w:val="0020199A"/>
    <w:rsid w:val="002647B7"/>
    <w:rsid w:val="00281742"/>
    <w:rsid w:val="002861C3"/>
    <w:rsid w:val="0029394E"/>
    <w:rsid w:val="002B2F82"/>
    <w:rsid w:val="002D03F5"/>
    <w:rsid w:val="002D16F4"/>
    <w:rsid w:val="00310843"/>
    <w:rsid w:val="00324340"/>
    <w:rsid w:val="00341E6B"/>
    <w:rsid w:val="003478E7"/>
    <w:rsid w:val="0036774E"/>
    <w:rsid w:val="00370492"/>
    <w:rsid w:val="0038498A"/>
    <w:rsid w:val="00385518"/>
    <w:rsid w:val="00385639"/>
    <w:rsid w:val="003B3C9E"/>
    <w:rsid w:val="003C306B"/>
    <w:rsid w:val="003C5653"/>
    <w:rsid w:val="003E40F9"/>
    <w:rsid w:val="003F7A0E"/>
    <w:rsid w:val="00437EF1"/>
    <w:rsid w:val="00440FF0"/>
    <w:rsid w:val="004422E9"/>
    <w:rsid w:val="00470A03"/>
    <w:rsid w:val="004807E5"/>
    <w:rsid w:val="004819C0"/>
    <w:rsid w:val="004C0E02"/>
    <w:rsid w:val="004C7D15"/>
    <w:rsid w:val="004D42D0"/>
    <w:rsid w:val="004D5AB3"/>
    <w:rsid w:val="00522E76"/>
    <w:rsid w:val="0053715B"/>
    <w:rsid w:val="00544F98"/>
    <w:rsid w:val="00584735"/>
    <w:rsid w:val="005A0C50"/>
    <w:rsid w:val="005A4CA7"/>
    <w:rsid w:val="005C7E80"/>
    <w:rsid w:val="005D1921"/>
    <w:rsid w:val="005D4FBE"/>
    <w:rsid w:val="005E74FA"/>
    <w:rsid w:val="00613065"/>
    <w:rsid w:val="0062185A"/>
    <w:rsid w:val="00625231"/>
    <w:rsid w:val="00635843"/>
    <w:rsid w:val="00647B1E"/>
    <w:rsid w:val="00675243"/>
    <w:rsid w:val="006765B1"/>
    <w:rsid w:val="006910A6"/>
    <w:rsid w:val="00694B2C"/>
    <w:rsid w:val="00696C8A"/>
    <w:rsid w:val="006B02DB"/>
    <w:rsid w:val="006C22B5"/>
    <w:rsid w:val="006D0CC3"/>
    <w:rsid w:val="007224BD"/>
    <w:rsid w:val="00726641"/>
    <w:rsid w:val="00730316"/>
    <w:rsid w:val="00734DF4"/>
    <w:rsid w:val="00753235"/>
    <w:rsid w:val="00770D0A"/>
    <w:rsid w:val="007714EB"/>
    <w:rsid w:val="00775344"/>
    <w:rsid w:val="00785C99"/>
    <w:rsid w:val="007A6119"/>
    <w:rsid w:val="007B437D"/>
    <w:rsid w:val="007E3167"/>
    <w:rsid w:val="00810EBB"/>
    <w:rsid w:val="00815A4F"/>
    <w:rsid w:val="00875698"/>
    <w:rsid w:val="00883E28"/>
    <w:rsid w:val="008A73C0"/>
    <w:rsid w:val="008A7F98"/>
    <w:rsid w:val="008C2D0D"/>
    <w:rsid w:val="008C5A10"/>
    <w:rsid w:val="00905BA2"/>
    <w:rsid w:val="00911269"/>
    <w:rsid w:val="00917AAC"/>
    <w:rsid w:val="00940911"/>
    <w:rsid w:val="009838EB"/>
    <w:rsid w:val="009C6C27"/>
    <w:rsid w:val="009E3A22"/>
    <w:rsid w:val="00A24F92"/>
    <w:rsid w:val="00A34EEE"/>
    <w:rsid w:val="00A41777"/>
    <w:rsid w:val="00A528B1"/>
    <w:rsid w:val="00A62B07"/>
    <w:rsid w:val="00A674AD"/>
    <w:rsid w:val="00A74939"/>
    <w:rsid w:val="00A75902"/>
    <w:rsid w:val="00A85A8A"/>
    <w:rsid w:val="00A91829"/>
    <w:rsid w:val="00AB67FE"/>
    <w:rsid w:val="00AC0E75"/>
    <w:rsid w:val="00AC11CB"/>
    <w:rsid w:val="00AE55D4"/>
    <w:rsid w:val="00AF2546"/>
    <w:rsid w:val="00AF7685"/>
    <w:rsid w:val="00B02F33"/>
    <w:rsid w:val="00B4038E"/>
    <w:rsid w:val="00B42444"/>
    <w:rsid w:val="00B450AA"/>
    <w:rsid w:val="00B55E92"/>
    <w:rsid w:val="00B60138"/>
    <w:rsid w:val="00B81882"/>
    <w:rsid w:val="00B8485F"/>
    <w:rsid w:val="00BB0698"/>
    <w:rsid w:val="00BE06C3"/>
    <w:rsid w:val="00BF5286"/>
    <w:rsid w:val="00C062A6"/>
    <w:rsid w:val="00C11756"/>
    <w:rsid w:val="00C3230C"/>
    <w:rsid w:val="00C52DDE"/>
    <w:rsid w:val="00C56EB9"/>
    <w:rsid w:val="00C67613"/>
    <w:rsid w:val="00C73F2F"/>
    <w:rsid w:val="00C93C18"/>
    <w:rsid w:val="00C966ED"/>
    <w:rsid w:val="00CA2DDB"/>
    <w:rsid w:val="00CB2AFA"/>
    <w:rsid w:val="00CB37C3"/>
    <w:rsid w:val="00CD5491"/>
    <w:rsid w:val="00D257EF"/>
    <w:rsid w:val="00D2743E"/>
    <w:rsid w:val="00D739BF"/>
    <w:rsid w:val="00D91A55"/>
    <w:rsid w:val="00D920E2"/>
    <w:rsid w:val="00E01ED7"/>
    <w:rsid w:val="00E21C49"/>
    <w:rsid w:val="00E22F0B"/>
    <w:rsid w:val="00E3130B"/>
    <w:rsid w:val="00E401E3"/>
    <w:rsid w:val="00E52743"/>
    <w:rsid w:val="00E75E70"/>
    <w:rsid w:val="00E959B4"/>
    <w:rsid w:val="00EB2D86"/>
    <w:rsid w:val="00EC348F"/>
    <w:rsid w:val="00EC7089"/>
    <w:rsid w:val="00ED5788"/>
    <w:rsid w:val="00EF01DF"/>
    <w:rsid w:val="00EF5EB6"/>
    <w:rsid w:val="00F219A5"/>
    <w:rsid w:val="00F424E7"/>
    <w:rsid w:val="00F52C26"/>
    <w:rsid w:val="00F8004B"/>
    <w:rsid w:val="00F923A0"/>
    <w:rsid w:val="00FB157E"/>
    <w:rsid w:val="01010072"/>
    <w:rsid w:val="01021A98"/>
    <w:rsid w:val="01081613"/>
    <w:rsid w:val="010C3D42"/>
    <w:rsid w:val="010D574F"/>
    <w:rsid w:val="010E2F15"/>
    <w:rsid w:val="011548F2"/>
    <w:rsid w:val="01165357"/>
    <w:rsid w:val="011F1FCE"/>
    <w:rsid w:val="011F31E4"/>
    <w:rsid w:val="01224330"/>
    <w:rsid w:val="012757F0"/>
    <w:rsid w:val="012B0AB7"/>
    <w:rsid w:val="01401000"/>
    <w:rsid w:val="014249BD"/>
    <w:rsid w:val="01435B93"/>
    <w:rsid w:val="014933C9"/>
    <w:rsid w:val="014F3651"/>
    <w:rsid w:val="01534424"/>
    <w:rsid w:val="015376C1"/>
    <w:rsid w:val="015600D0"/>
    <w:rsid w:val="0156069C"/>
    <w:rsid w:val="015B4661"/>
    <w:rsid w:val="015D0D1F"/>
    <w:rsid w:val="01637EA9"/>
    <w:rsid w:val="016E343C"/>
    <w:rsid w:val="017B0F74"/>
    <w:rsid w:val="017C66EA"/>
    <w:rsid w:val="018069F1"/>
    <w:rsid w:val="018C1B22"/>
    <w:rsid w:val="01905528"/>
    <w:rsid w:val="01920B9E"/>
    <w:rsid w:val="019D71B2"/>
    <w:rsid w:val="01C60FF0"/>
    <w:rsid w:val="01E17DB9"/>
    <w:rsid w:val="01E70E7F"/>
    <w:rsid w:val="02057043"/>
    <w:rsid w:val="02095182"/>
    <w:rsid w:val="02125B5D"/>
    <w:rsid w:val="022A0485"/>
    <w:rsid w:val="022D5D90"/>
    <w:rsid w:val="02317500"/>
    <w:rsid w:val="023251BB"/>
    <w:rsid w:val="02374195"/>
    <w:rsid w:val="023A392C"/>
    <w:rsid w:val="023B0006"/>
    <w:rsid w:val="023C14AF"/>
    <w:rsid w:val="023E5AE4"/>
    <w:rsid w:val="024162BF"/>
    <w:rsid w:val="02456683"/>
    <w:rsid w:val="024A0A90"/>
    <w:rsid w:val="024A7794"/>
    <w:rsid w:val="024D46F7"/>
    <w:rsid w:val="024D4805"/>
    <w:rsid w:val="0256054B"/>
    <w:rsid w:val="0258138A"/>
    <w:rsid w:val="025D6C81"/>
    <w:rsid w:val="02662DA0"/>
    <w:rsid w:val="02673D36"/>
    <w:rsid w:val="02685F98"/>
    <w:rsid w:val="02695FCF"/>
    <w:rsid w:val="026D2F48"/>
    <w:rsid w:val="027C6D60"/>
    <w:rsid w:val="02853586"/>
    <w:rsid w:val="02921863"/>
    <w:rsid w:val="029B52BC"/>
    <w:rsid w:val="029F5CF5"/>
    <w:rsid w:val="02A42FC3"/>
    <w:rsid w:val="02A507D8"/>
    <w:rsid w:val="02B62BE8"/>
    <w:rsid w:val="02BD60DF"/>
    <w:rsid w:val="02BF40C1"/>
    <w:rsid w:val="02BF75A6"/>
    <w:rsid w:val="02CB36FD"/>
    <w:rsid w:val="02CE7817"/>
    <w:rsid w:val="02CF30A0"/>
    <w:rsid w:val="02D062FA"/>
    <w:rsid w:val="02D9465E"/>
    <w:rsid w:val="02E43B2A"/>
    <w:rsid w:val="02E706F1"/>
    <w:rsid w:val="02E83EA7"/>
    <w:rsid w:val="02EC30A8"/>
    <w:rsid w:val="02EC314B"/>
    <w:rsid w:val="02F22F11"/>
    <w:rsid w:val="02F41484"/>
    <w:rsid w:val="02F45956"/>
    <w:rsid w:val="02F525AC"/>
    <w:rsid w:val="02FC4DEE"/>
    <w:rsid w:val="0300736C"/>
    <w:rsid w:val="03016D78"/>
    <w:rsid w:val="0307668F"/>
    <w:rsid w:val="0311666B"/>
    <w:rsid w:val="03153084"/>
    <w:rsid w:val="031817E1"/>
    <w:rsid w:val="031D1BBB"/>
    <w:rsid w:val="03212608"/>
    <w:rsid w:val="032E6BA8"/>
    <w:rsid w:val="03326DB4"/>
    <w:rsid w:val="03355938"/>
    <w:rsid w:val="033F39B1"/>
    <w:rsid w:val="03454F56"/>
    <w:rsid w:val="034828FE"/>
    <w:rsid w:val="0356212F"/>
    <w:rsid w:val="03622F74"/>
    <w:rsid w:val="03644081"/>
    <w:rsid w:val="03656478"/>
    <w:rsid w:val="03701075"/>
    <w:rsid w:val="037047CF"/>
    <w:rsid w:val="03710D2E"/>
    <w:rsid w:val="037759B5"/>
    <w:rsid w:val="037954B8"/>
    <w:rsid w:val="037C2F0E"/>
    <w:rsid w:val="038379E5"/>
    <w:rsid w:val="03874634"/>
    <w:rsid w:val="03877FE1"/>
    <w:rsid w:val="03895ECE"/>
    <w:rsid w:val="039549BA"/>
    <w:rsid w:val="039F75F1"/>
    <w:rsid w:val="03A65C07"/>
    <w:rsid w:val="03A7617A"/>
    <w:rsid w:val="03B2354C"/>
    <w:rsid w:val="03B42AC4"/>
    <w:rsid w:val="03B535A5"/>
    <w:rsid w:val="03B6581A"/>
    <w:rsid w:val="03C23CA2"/>
    <w:rsid w:val="03D05F3B"/>
    <w:rsid w:val="03DE46B1"/>
    <w:rsid w:val="03DE5080"/>
    <w:rsid w:val="03DE6927"/>
    <w:rsid w:val="03F03CF3"/>
    <w:rsid w:val="03F30B98"/>
    <w:rsid w:val="03FE7CDF"/>
    <w:rsid w:val="04034CDC"/>
    <w:rsid w:val="040B62CF"/>
    <w:rsid w:val="040F0647"/>
    <w:rsid w:val="0410601C"/>
    <w:rsid w:val="041407C9"/>
    <w:rsid w:val="041618F2"/>
    <w:rsid w:val="041E14D3"/>
    <w:rsid w:val="042C70DE"/>
    <w:rsid w:val="042D011C"/>
    <w:rsid w:val="04322E90"/>
    <w:rsid w:val="043B2989"/>
    <w:rsid w:val="043B62EB"/>
    <w:rsid w:val="043C7A0A"/>
    <w:rsid w:val="04443E58"/>
    <w:rsid w:val="044F57F6"/>
    <w:rsid w:val="04584541"/>
    <w:rsid w:val="045F35B7"/>
    <w:rsid w:val="046A489F"/>
    <w:rsid w:val="046A5A1B"/>
    <w:rsid w:val="047A7582"/>
    <w:rsid w:val="047C00D1"/>
    <w:rsid w:val="047F4901"/>
    <w:rsid w:val="04903A15"/>
    <w:rsid w:val="04954DF8"/>
    <w:rsid w:val="04967669"/>
    <w:rsid w:val="049D2BA8"/>
    <w:rsid w:val="04BC5C1D"/>
    <w:rsid w:val="04D52FD2"/>
    <w:rsid w:val="04DD0A3B"/>
    <w:rsid w:val="04EF75D9"/>
    <w:rsid w:val="04F8377B"/>
    <w:rsid w:val="05017B2A"/>
    <w:rsid w:val="05020C96"/>
    <w:rsid w:val="0502191D"/>
    <w:rsid w:val="05047CC1"/>
    <w:rsid w:val="05063106"/>
    <w:rsid w:val="05064B86"/>
    <w:rsid w:val="050C0EAD"/>
    <w:rsid w:val="05110A04"/>
    <w:rsid w:val="05186645"/>
    <w:rsid w:val="0519047A"/>
    <w:rsid w:val="051F44F1"/>
    <w:rsid w:val="0520664C"/>
    <w:rsid w:val="05265751"/>
    <w:rsid w:val="05473F88"/>
    <w:rsid w:val="054D6B83"/>
    <w:rsid w:val="05525A5A"/>
    <w:rsid w:val="05547B01"/>
    <w:rsid w:val="05580B2B"/>
    <w:rsid w:val="055B2329"/>
    <w:rsid w:val="055B5EF9"/>
    <w:rsid w:val="056400B1"/>
    <w:rsid w:val="056424B7"/>
    <w:rsid w:val="05667649"/>
    <w:rsid w:val="05687A8C"/>
    <w:rsid w:val="056A52DE"/>
    <w:rsid w:val="056A7DFF"/>
    <w:rsid w:val="056C152C"/>
    <w:rsid w:val="05787248"/>
    <w:rsid w:val="05830966"/>
    <w:rsid w:val="05892049"/>
    <w:rsid w:val="058B5642"/>
    <w:rsid w:val="05915CB5"/>
    <w:rsid w:val="05917B11"/>
    <w:rsid w:val="059653DA"/>
    <w:rsid w:val="05A11627"/>
    <w:rsid w:val="05A30116"/>
    <w:rsid w:val="05A74730"/>
    <w:rsid w:val="05AA773E"/>
    <w:rsid w:val="05AD759A"/>
    <w:rsid w:val="05B1624F"/>
    <w:rsid w:val="05B65AAB"/>
    <w:rsid w:val="05B84726"/>
    <w:rsid w:val="05B96C3B"/>
    <w:rsid w:val="05BC0842"/>
    <w:rsid w:val="05BD5503"/>
    <w:rsid w:val="05C5177D"/>
    <w:rsid w:val="05C60181"/>
    <w:rsid w:val="05CB4F15"/>
    <w:rsid w:val="05D842C7"/>
    <w:rsid w:val="05DE5C5E"/>
    <w:rsid w:val="05E03D42"/>
    <w:rsid w:val="05FE60FB"/>
    <w:rsid w:val="06061916"/>
    <w:rsid w:val="060D13D5"/>
    <w:rsid w:val="060E70E6"/>
    <w:rsid w:val="060F5093"/>
    <w:rsid w:val="06236CD8"/>
    <w:rsid w:val="062B1D51"/>
    <w:rsid w:val="063C3563"/>
    <w:rsid w:val="06487D39"/>
    <w:rsid w:val="064B1267"/>
    <w:rsid w:val="064B3CEB"/>
    <w:rsid w:val="064B563B"/>
    <w:rsid w:val="06543C58"/>
    <w:rsid w:val="06591D58"/>
    <w:rsid w:val="065F4307"/>
    <w:rsid w:val="06657985"/>
    <w:rsid w:val="067005AD"/>
    <w:rsid w:val="067158A5"/>
    <w:rsid w:val="06796039"/>
    <w:rsid w:val="068C7D25"/>
    <w:rsid w:val="068E0EDC"/>
    <w:rsid w:val="06923230"/>
    <w:rsid w:val="06975A80"/>
    <w:rsid w:val="069854B1"/>
    <w:rsid w:val="069F77B5"/>
    <w:rsid w:val="06A0635E"/>
    <w:rsid w:val="06B77CE0"/>
    <w:rsid w:val="06BB0778"/>
    <w:rsid w:val="06C509DE"/>
    <w:rsid w:val="06D425E0"/>
    <w:rsid w:val="06D91E5F"/>
    <w:rsid w:val="06DA48A4"/>
    <w:rsid w:val="06DB6900"/>
    <w:rsid w:val="06E05818"/>
    <w:rsid w:val="06EB5BEC"/>
    <w:rsid w:val="06EC2933"/>
    <w:rsid w:val="06F236DC"/>
    <w:rsid w:val="06F60C36"/>
    <w:rsid w:val="06F67FCA"/>
    <w:rsid w:val="070107C0"/>
    <w:rsid w:val="07037004"/>
    <w:rsid w:val="070B1049"/>
    <w:rsid w:val="071F6F39"/>
    <w:rsid w:val="0721291F"/>
    <w:rsid w:val="07231105"/>
    <w:rsid w:val="073339F0"/>
    <w:rsid w:val="07346A7B"/>
    <w:rsid w:val="073B4E9F"/>
    <w:rsid w:val="07443726"/>
    <w:rsid w:val="07473F05"/>
    <w:rsid w:val="074E7C06"/>
    <w:rsid w:val="07525948"/>
    <w:rsid w:val="075408AE"/>
    <w:rsid w:val="075C5BF9"/>
    <w:rsid w:val="076E2E87"/>
    <w:rsid w:val="0789683D"/>
    <w:rsid w:val="079347E0"/>
    <w:rsid w:val="079D000E"/>
    <w:rsid w:val="079F550D"/>
    <w:rsid w:val="07A76401"/>
    <w:rsid w:val="07A840E8"/>
    <w:rsid w:val="07B0086A"/>
    <w:rsid w:val="07B53883"/>
    <w:rsid w:val="07BA454B"/>
    <w:rsid w:val="07BE50A2"/>
    <w:rsid w:val="07BE7988"/>
    <w:rsid w:val="07BF0316"/>
    <w:rsid w:val="07CC0C12"/>
    <w:rsid w:val="07D000F4"/>
    <w:rsid w:val="07D861B7"/>
    <w:rsid w:val="07DE06BF"/>
    <w:rsid w:val="07E722CB"/>
    <w:rsid w:val="07E91EA4"/>
    <w:rsid w:val="07EA76D7"/>
    <w:rsid w:val="07F1379F"/>
    <w:rsid w:val="07F61D03"/>
    <w:rsid w:val="07F805BB"/>
    <w:rsid w:val="07F85B3D"/>
    <w:rsid w:val="08151E19"/>
    <w:rsid w:val="08225D94"/>
    <w:rsid w:val="08227BEC"/>
    <w:rsid w:val="08272FD3"/>
    <w:rsid w:val="082779D0"/>
    <w:rsid w:val="08277D95"/>
    <w:rsid w:val="08305F93"/>
    <w:rsid w:val="083371A0"/>
    <w:rsid w:val="08337685"/>
    <w:rsid w:val="08402B4A"/>
    <w:rsid w:val="08411F8B"/>
    <w:rsid w:val="08462037"/>
    <w:rsid w:val="08493089"/>
    <w:rsid w:val="084D4C5F"/>
    <w:rsid w:val="08573555"/>
    <w:rsid w:val="085A6403"/>
    <w:rsid w:val="085F52A6"/>
    <w:rsid w:val="08636671"/>
    <w:rsid w:val="08644290"/>
    <w:rsid w:val="08691C9D"/>
    <w:rsid w:val="08733140"/>
    <w:rsid w:val="087912F3"/>
    <w:rsid w:val="0882386D"/>
    <w:rsid w:val="089D73DC"/>
    <w:rsid w:val="08A11EF2"/>
    <w:rsid w:val="08A357A5"/>
    <w:rsid w:val="08A73F82"/>
    <w:rsid w:val="08A83B7B"/>
    <w:rsid w:val="08B04F3F"/>
    <w:rsid w:val="08B251BE"/>
    <w:rsid w:val="08B342CA"/>
    <w:rsid w:val="08B629AD"/>
    <w:rsid w:val="08BE1311"/>
    <w:rsid w:val="08BE210F"/>
    <w:rsid w:val="08C54A50"/>
    <w:rsid w:val="08C86AF8"/>
    <w:rsid w:val="08CA5DE9"/>
    <w:rsid w:val="08CE6112"/>
    <w:rsid w:val="08D0145C"/>
    <w:rsid w:val="08D2412C"/>
    <w:rsid w:val="08D86911"/>
    <w:rsid w:val="08DA7788"/>
    <w:rsid w:val="08E02DD3"/>
    <w:rsid w:val="08E44803"/>
    <w:rsid w:val="08E74C7C"/>
    <w:rsid w:val="08EA12DE"/>
    <w:rsid w:val="08EC545D"/>
    <w:rsid w:val="08F53A9F"/>
    <w:rsid w:val="08F9704C"/>
    <w:rsid w:val="08FB5F75"/>
    <w:rsid w:val="08FC22B3"/>
    <w:rsid w:val="08FD5A9C"/>
    <w:rsid w:val="09007783"/>
    <w:rsid w:val="09135C5A"/>
    <w:rsid w:val="0922534F"/>
    <w:rsid w:val="09266BCD"/>
    <w:rsid w:val="09340A2A"/>
    <w:rsid w:val="093926D6"/>
    <w:rsid w:val="093B7FE3"/>
    <w:rsid w:val="09494248"/>
    <w:rsid w:val="094950B4"/>
    <w:rsid w:val="094F58B0"/>
    <w:rsid w:val="09535BC7"/>
    <w:rsid w:val="095775C9"/>
    <w:rsid w:val="095A5B6D"/>
    <w:rsid w:val="095C18F4"/>
    <w:rsid w:val="095E1705"/>
    <w:rsid w:val="095F0810"/>
    <w:rsid w:val="096B27AE"/>
    <w:rsid w:val="09712AF8"/>
    <w:rsid w:val="09747530"/>
    <w:rsid w:val="09786EFC"/>
    <w:rsid w:val="097A555E"/>
    <w:rsid w:val="098113DB"/>
    <w:rsid w:val="09876AE6"/>
    <w:rsid w:val="098D645E"/>
    <w:rsid w:val="099422C8"/>
    <w:rsid w:val="099566E0"/>
    <w:rsid w:val="09AD6B6E"/>
    <w:rsid w:val="09BF3703"/>
    <w:rsid w:val="09BF78C7"/>
    <w:rsid w:val="09C41CC3"/>
    <w:rsid w:val="09C80D07"/>
    <w:rsid w:val="09CC4BED"/>
    <w:rsid w:val="09D16595"/>
    <w:rsid w:val="09D1762E"/>
    <w:rsid w:val="09D74A83"/>
    <w:rsid w:val="09DA532F"/>
    <w:rsid w:val="09E544AC"/>
    <w:rsid w:val="09E545BF"/>
    <w:rsid w:val="09E77A96"/>
    <w:rsid w:val="09EC5EA9"/>
    <w:rsid w:val="09F17ADA"/>
    <w:rsid w:val="09FF15D5"/>
    <w:rsid w:val="0A01505C"/>
    <w:rsid w:val="0A0866E2"/>
    <w:rsid w:val="0A0941A8"/>
    <w:rsid w:val="0A1B44A0"/>
    <w:rsid w:val="0A2A5939"/>
    <w:rsid w:val="0A305E6F"/>
    <w:rsid w:val="0A351CE5"/>
    <w:rsid w:val="0A363F6D"/>
    <w:rsid w:val="0A392A11"/>
    <w:rsid w:val="0A3A3495"/>
    <w:rsid w:val="0A413D84"/>
    <w:rsid w:val="0A45434D"/>
    <w:rsid w:val="0A5067AE"/>
    <w:rsid w:val="0A532210"/>
    <w:rsid w:val="0A532992"/>
    <w:rsid w:val="0A57140D"/>
    <w:rsid w:val="0A59220D"/>
    <w:rsid w:val="0A5C786E"/>
    <w:rsid w:val="0A5E40CF"/>
    <w:rsid w:val="0A652FBB"/>
    <w:rsid w:val="0A6E429A"/>
    <w:rsid w:val="0A753371"/>
    <w:rsid w:val="0A783AC7"/>
    <w:rsid w:val="0A7D0F2B"/>
    <w:rsid w:val="0A854BC8"/>
    <w:rsid w:val="0A8C0DF0"/>
    <w:rsid w:val="0A8D6C26"/>
    <w:rsid w:val="0A8E1519"/>
    <w:rsid w:val="0A973182"/>
    <w:rsid w:val="0A981283"/>
    <w:rsid w:val="0A9C242D"/>
    <w:rsid w:val="0AB0494C"/>
    <w:rsid w:val="0AB35C2A"/>
    <w:rsid w:val="0ABC328E"/>
    <w:rsid w:val="0ABC75EF"/>
    <w:rsid w:val="0AC31110"/>
    <w:rsid w:val="0AC641BF"/>
    <w:rsid w:val="0ACD5A29"/>
    <w:rsid w:val="0AD86987"/>
    <w:rsid w:val="0ADD7267"/>
    <w:rsid w:val="0ADF145F"/>
    <w:rsid w:val="0AE524F5"/>
    <w:rsid w:val="0AF04732"/>
    <w:rsid w:val="0B00795D"/>
    <w:rsid w:val="0B0152C8"/>
    <w:rsid w:val="0B0537D8"/>
    <w:rsid w:val="0B056BED"/>
    <w:rsid w:val="0B0D6DA1"/>
    <w:rsid w:val="0B133CAF"/>
    <w:rsid w:val="0B192C78"/>
    <w:rsid w:val="0B1E078F"/>
    <w:rsid w:val="0B2B1B21"/>
    <w:rsid w:val="0B2B47C4"/>
    <w:rsid w:val="0B2C44C9"/>
    <w:rsid w:val="0B363F51"/>
    <w:rsid w:val="0B392B60"/>
    <w:rsid w:val="0B3F55DC"/>
    <w:rsid w:val="0B4912CC"/>
    <w:rsid w:val="0B4A6BE4"/>
    <w:rsid w:val="0B4B0D13"/>
    <w:rsid w:val="0B520F90"/>
    <w:rsid w:val="0B592AFE"/>
    <w:rsid w:val="0B5B5009"/>
    <w:rsid w:val="0B5D0B3A"/>
    <w:rsid w:val="0B5E4BFF"/>
    <w:rsid w:val="0B645C40"/>
    <w:rsid w:val="0B6B3C05"/>
    <w:rsid w:val="0B7814F3"/>
    <w:rsid w:val="0B7E7359"/>
    <w:rsid w:val="0B85443E"/>
    <w:rsid w:val="0B91121B"/>
    <w:rsid w:val="0BA35052"/>
    <w:rsid w:val="0BAA2BDA"/>
    <w:rsid w:val="0BB01001"/>
    <w:rsid w:val="0BB51830"/>
    <w:rsid w:val="0BB65F43"/>
    <w:rsid w:val="0BB8164F"/>
    <w:rsid w:val="0BC12AC7"/>
    <w:rsid w:val="0BCF515A"/>
    <w:rsid w:val="0BD12280"/>
    <w:rsid w:val="0BDF701F"/>
    <w:rsid w:val="0BE2664D"/>
    <w:rsid w:val="0BE35337"/>
    <w:rsid w:val="0BEB7BAA"/>
    <w:rsid w:val="0BED1652"/>
    <w:rsid w:val="0BFE3A2C"/>
    <w:rsid w:val="0BFE626E"/>
    <w:rsid w:val="0BFF0C24"/>
    <w:rsid w:val="0C0A439B"/>
    <w:rsid w:val="0C172B8B"/>
    <w:rsid w:val="0C19185F"/>
    <w:rsid w:val="0C1F0AF3"/>
    <w:rsid w:val="0C202DD2"/>
    <w:rsid w:val="0C213401"/>
    <w:rsid w:val="0C2472D4"/>
    <w:rsid w:val="0C2668F1"/>
    <w:rsid w:val="0C2F2966"/>
    <w:rsid w:val="0C2F5483"/>
    <w:rsid w:val="0C373049"/>
    <w:rsid w:val="0C373BBD"/>
    <w:rsid w:val="0C401A18"/>
    <w:rsid w:val="0C456919"/>
    <w:rsid w:val="0C465B6D"/>
    <w:rsid w:val="0C49205B"/>
    <w:rsid w:val="0C555B81"/>
    <w:rsid w:val="0C58601E"/>
    <w:rsid w:val="0C5C7D2B"/>
    <w:rsid w:val="0C5D1E62"/>
    <w:rsid w:val="0C6C55B1"/>
    <w:rsid w:val="0C76141F"/>
    <w:rsid w:val="0C7B1FB0"/>
    <w:rsid w:val="0C84671F"/>
    <w:rsid w:val="0C8832FE"/>
    <w:rsid w:val="0C885F82"/>
    <w:rsid w:val="0C9104C6"/>
    <w:rsid w:val="0C91669E"/>
    <w:rsid w:val="0C9301CC"/>
    <w:rsid w:val="0C967D8B"/>
    <w:rsid w:val="0C9904F5"/>
    <w:rsid w:val="0C9E004A"/>
    <w:rsid w:val="0CA04332"/>
    <w:rsid w:val="0CAF510F"/>
    <w:rsid w:val="0CB042E5"/>
    <w:rsid w:val="0CB30036"/>
    <w:rsid w:val="0CB30E53"/>
    <w:rsid w:val="0CB40E5B"/>
    <w:rsid w:val="0CB4415B"/>
    <w:rsid w:val="0CB63B0B"/>
    <w:rsid w:val="0CBC0E72"/>
    <w:rsid w:val="0CC42B94"/>
    <w:rsid w:val="0CC4364F"/>
    <w:rsid w:val="0CC54028"/>
    <w:rsid w:val="0CC66938"/>
    <w:rsid w:val="0CC855EA"/>
    <w:rsid w:val="0CCB40B9"/>
    <w:rsid w:val="0CCC1A3C"/>
    <w:rsid w:val="0CCD5D53"/>
    <w:rsid w:val="0CCE285E"/>
    <w:rsid w:val="0CD24CD8"/>
    <w:rsid w:val="0CDB7F97"/>
    <w:rsid w:val="0CE237D0"/>
    <w:rsid w:val="0CE7460B"/>
    <w:rsid w:val="0CF13533"/>
    <w:rsid w:val="0CF25D65"/>
    <w:rsid w:val="0CF30DC5"/>
    <w:rsid w:val="0CF562EB"/>
    <w:rsid w:val="0CF83AFD"/>
    <w:rsid w:val="0CF91B50"/>
    <w:rsid w:val="0D060062"/>
    <w:rsid w:val="0D087D56"/>
    <w:rsid w:val="0D117C5D"/>
    <w:rsid w:val="0D233EB3"/>
    <w:rsid w:val="0D2939CA"/>
    <w:rsid w:val="0D303436"/>
    <w:rsid w:val="0D337704"/>
    <w:rsid w:val="0D34684E"/>
    <w:rsid w:val="0D3C1D61"/>
    <w:rsid w:val="0D47339A"/>
    <w:rsid w:val="0D4D2BE7"/>
    <w:rsid w:val="0D553203"/>
    <w:rsid w:val="0D55778F"/>
    <w:rsid w:val="0D5A4D1E"/>
    <w:rsid w:val="0D635AC3"/>
    <w:rsid w:val="0D640E79"/>
    <w:rsid w:val="0D674849"/>
    <w:rsid w:val="0D695CCC"/>
    <w:rsid w:val="0D6B2111"/>
    <w:rsid w:val="0D7A19FC"/>
    <w:rsid w:val="0D7B6B9F"/>
    <w:rsid w:val="0D7D1830"/>
    <w:rsid w:val="0D80231D"/>
    <w:rsid w:val="0D813543"/>
    <w:rsid w:val="0D877ED1"/>
    <w:rsid w:val="0D8A16B2"/>
    <w:rsid w:val="0D8D635C"/>
    <w:rsid w:val="0DAB1687"/>
    <w:rsid w:val="0DAB3237"/>
    <w:rsid w:val="0DB81682"/>
    <w:rsid w:val="0DB9422D"/>
    <w:rsid w:val="0DBC2BE1"/>
    <w:rsid w:val="0DC25287"/>
    <w:rsid w:val="0DC30E5C"/>
    <w:rsid w:val="0DC96C79"/>
    <w:rsid w:val="0DCD3086"/>
    <w:rsid w:val="0DDB3650"/>
    <w:rsid w:val="0DDF6F08"/>
    <w:rsid w:val="0DE7783B"/>
    <w:rsid w:val="0DF0263A"/>
    <w:rsid w:val="0DF413BD"/>
    <w:rsid w:val="0E050474"/>
    <w:rsid w:val="0E125392"/>
    <w:rsid w:val="0E174CA0"/>
    <w:rsid w:val="0E191C84"/>
    <w:rsid w:val="0E1C3338"/>
    <w:rsid w:val="0E1E4432"/>
    <w:rsid w:val="0E212F6F"/>
    <w:rsid w:val="0E2A2381"/>
    <w:rsid w:val="0E344C94"/>
    <w:rsid w:val="0E363ACC"/>
    <w:rsid w:val="0E404601"/>
    <w:rsid w:val="0E4143E9"/>
    <w:rsid w:val="0E4B5880"/>
    <w:rsid w:val="0E4D0814"/>
    <w:rsid w:val="0E4D51FD"/>
    <w:rsid w:val="0E4E28FA"/>
    <w:rsid w:val="0E5729B2"/>
    <w:rsid w:val="0E6416D7"/>
    <w:rsid w:val="0E7C6A08"/>
    <w:rsid w:val="0E8156F3"/>
    <w:rsid w:val="0E835CCD"/>
    <w:rsid w:val="0E86141F"/>
    <w:rsid w:val="0E8646FF"/>
    <w:rsid w:val="0E8C015F"/>
    <w:rsid w:val="0E9D1D85"/>
    <w:rsid w:val="0EA42398"/>
    <w:rsid w:val="0EA625ED"/>
    <w:rsid w:val="0EA66C44"/>
    <w:rsid w:val="0EB10D65"/>
    <w:rsid w:val="0EB97BAE"/>
    <w:rsid w:val="0EBA2A87"/>
    <w:rsid w:val="0EBD7E7E"/>
    <w:rsid w:val="0EC012FB"/>
    <w:rsid w:val="0ECE3EF4"/>
    <w:rsid w:val="0EE03D8C"/>
    <w:rsid w:val="0EE37B2A"/>
    <w:rsid w:val="0EF215B8"/>
    <w:rsid w:val="0EF442A8"/>
    <w:rsid w:val="0EF64F3A"/>
    <w:rsid w:val="0F163A64"/>
    <w:rsid w:val="0F187B0A"/>
    <w:rsid w:val="0F26074B"/>
    <w:rsid w:val="0F2B3FFF"/>
    <w:rsid w:val="0F2C77B2"/>
    <w:rsid w:val="0F390CF3"/>
    <w:rsid w:val="0F583BFC"/>
    <w:rsid w:val="0F5A7282"/>
    <w:rsid w:val="0F5B0265"/>
    <w:rsid w:val="0F666517"/>
    <w:rsid w:val="0F6F0CC8"/>
    <w:rsid w:val="0F721F4B"/>
    <w:rsid w:val="0F731BFB"/>
    <w:rsid w:val="0F7B1A17"/>
    <w:rsid w:val="0F807ECD"/>
    <w:rsid w:val="0F841107"/>
    <w:rsid w:val="0F875B09"/>
    <w:rsid w:val="0F8A6D7B"/>
    <w:rsid w:val="0F8B1AB0"/>
    <w:rsid w:val="0F8D588B"/>
    <w:rsid w:val="0F932E5B"/>
    <w:rsid w:val="0F980097"/>
    <w:rsid w:val="0F9910B9"/>
    <w:rsid w:val="0FA40CB8"/>
    <w:rsid w:val="0FAA5FCA"/>
    <w:rsid w:val="0FB43C92"/>
    <w:rsid w:val="0FB53097"/>
    <w:rsid w:val="0FBA4F87"/>
    <w:rsid w:val="0FBB6B91"/>
    <w:rsid w:val="0FD44080"/>
    <w:rsid w:val="0FE136C0"/>
    <w:rsid w:val="0FF15BB4"/>
    <w:rsid w:val="0FF64054"/>
    <w:rsid w:val="100144B9"/>
    <w:rsid w:val="10016413"/>
    <w:rsid w:val="10016899"/>
    <w:rsid w:val="1003570C"/>
    <w:rsid w:val="10123444"/>
    <w:rsid w:val="101264EB"/>
    <w:rsid w:val="10175BCC"/>
    <w:rsid w:val="102248B3"/>
    <w:rsid w:val="103474DC"/>
    <w:rsid w:val="103E3B58"/>
    <w:rsid w:val="105C44B6"/>
    <w:rsid w:val="105F1622"/>
    <w:rsid w:val="106670EB"/>
    <w:rsid w:val="106A7FFF"/>
    <w:rsid w:val="10730A01"/>
    <w:rsid w:val="10784138"/>
    <w:rsid w:val="10796102"/>
    <w:rsid w:val="108109CA"/>
    <w:rsid w:val="10877636"/>
    <w:rsid w:val="10906195"/>
    <w:rsid w:val="10921840"/>
    <w:rsid w:val="10927074"/>
    <w:rsid w:val="109744F1"/>
    <w:rsid w:val="109B2639"/>
    <w:rsid w:val="10A149C6"/>
    <w:rsid w:val="10A25DC9"/>
    <w:rsid w:val="10AD0A19"/>
    <w:rsid w:val="10B07006"/>
    <w:rsid w:val="10B96501"/>
    <w:rsid w:val="10BB70F7"/>
    <w:rsid w:val="10BC3F9F"/>
    <w:rsid w:val="10C57BF4"/>
    <w:rsid w:val="10C74249"/>
    <w:rsid w:val="10C757F9"/>
    <w:rsid w:val="10CE53A5"/>
    <w:rsid w:val="10DC5D2B"/>
    <w:rsid w:val="10EF1485"/>
    <w:rsid w:val="10F55009"/>
    <w:rsid w:val="10FD020F"/>
    <w:rsid w:val="10FE5D36"/>
    <w:rsid w:val="11027827"/>
    <w:rsid w:val="11032465"/>
    <w:rsid w:val="110354E4"/>
    <w:rsid w:val="110479F7"/>
    <w:rsid w:val="11274215"/>
    <w:rsid w:val="11277E42"/>
    <w:rsid w:val="112C0267"/>
    <w:rsid w:val="112D1B27"/>
    <w:rsid w:val="11320455"/>
    <w:rsid w:val="113835D6"/>
    <w:rsid w:val="113B1FC7"/>
    <w:rsid w:val="113C56E7"/>
    <w:rsid w:val="11401D33"/>
    <w:rsid w:val="114B1274"/>
    <w:rsid w:val="115718FD"/>
    <w:rsid w:val="115A0C44"/>
    <w:rsid w:val="115C0C26"/>
    <w:rsid w:val="115D7B64"/>
    <w:rsid w:val="116473B1"/>
    <w:rsid w:val="116C44F8"/>
    <w:rsid w:val="117C43D8"/>
    <w:rsid w:val="1181281A"/>
    <w:rsid w:val="118D0261"/>
    <w:rsid w:val="119978DF"/>
    <w:rsid w:val="11A34471"/>
    <w:rsid w:val="11A576A5"/>
    <w:rsid w:val="11A7419B"/>
    <w:rsid w:val="11AC64EB"/>
    <w:rsid w:val="11B15131"/>
    <w:rsid w:val="11B21340"/>
    <w:rsid w:val="11C36B4A"/>
    <w:rsid w:val="11CB0FB4"/>
    <w:rsid w:val="11D112AD"/>
    <w:rsid w:val="11D87744"/>
    <w:rsid w:val="11DB16B6"/>
    <w:rsid w:val="11E27D2A"/>
    <w:rsid w:val="11E443DF"/>
    <w:rsid w:val="11EA3B0D"/>
    <w:rsid w:val="11EC3D84"/>
    <w:rsid w:val="11EF035A"/>
    <w:rsid w:val="11EF57CB"/>
    <w:rsid w:val="11FD27F3"/>
    <w:rsid w:val="12072BF5"/>
    <w:rsid w:val="120C53CC"/>
    <w:rsid w:val="120D17B7"/>
    <w:rsid w:val="121161D7"/>
    <w:rsid w:val="121D6BAC"/>
    <w:rsid w:val="122C0CD2"/>
    <w:rsid w:val="122D21B4"/>
    <w:rsid w:val="123202D5"/>
    <w:rsid w:val="1237401C"/>
    <w:rsid w:val="123B6000"/>
    <w:rsid w:val="123E0192"/>
    <w:rsid w:val="12414518"/>
    <w:rsid w:val="125528F3"/>
    <w:rsid w:val="125C1FF8"/>
    <w:rsid w:val="125F5DF0"/>
    <w:rsid w:val="126A07CF"/>
    <w:rsid w:val="128468DD"/>
    <w:rsid w:val="128672BC"/>
    <w:rsid w:val="128A0375"/>
    <w:rsid w:val="128C1AC9"/>
    <w:rsid w:val="129404ED"/>
    <w:rsid w:val="12A51E61"/>
    <w:rsid w:val="12A97085"/>
    <w:rsid w:val="12AD1365"/>
    <w:rsid w:val="12B170B2"/>
    <w:rsid w:val="12B26E17"/>
    <w:rsid w:val="12B94193"/>
    <w:rsid w:val="12C34482"/>
    <w:rsid w:val="12CD120A"/>
    <w:rsid w:val="12CE6FA1"/>
    <w:rsid w:val="12D27D1A"/>
    <w:rsid w:val="12D52DC5"/>
    <w:rsid w:val="12D66F75"/>
    <w:rsid w:val="12DC0010"/>
    <w:rsid w:val="12DC49B4"/>
    <w:rsid w:val="12DD245F"/>
    <w:rsid w:val="12E131F6"/>
    <w:rsid w:val="12E47F03"/>
    <w:rsid w:val="12E63A41"/>
    <w:rsid w:val="12F27FE5"/>
    <w:rsid w:val="12F365C9"/>
    <w:rsid w:val="13007AEE"/>
    <w:rsid w:val="1307653B"/>
    <w:rsid w:val="13093A14"/>
    <w:rsid w:val="130D2E57"/>
    <w:rsid w:val="13115826"/>
    <w:rsid w:val="131B3FB4"/>
    <w:rsid w:val="131E1C42"/>
    <w:rsid w:val="13204DFE"/>
    <w:rsid w:val="133D7D56"/>
    <w:rsid w:val="13435F06"/>
    <w:rsid w:val="134F5905"/>
    <w:rsid w:val="135902EA"/>
    <w:rsid w:val="135B1D5A"/>
    <w:rsid w:val="135C3E6A"/>
    <w:rsid w:val="135D069E"/>
    <w:rsid w:val="1369779C"/>
    <w:rsid w:val="136F3720"/>
    <w:rsid w:val="13754E15"/>
    <w:rsid w:val="1377173D"/>
    <w:rsid w:val="137A6A01"/>
    <w:rsid w:val="137D5DF5"/>
    <w:rsid w:val="13816A50"/>
    <w:rsid w:val="13837788"/>
    <w:rsid w:val="13880764"/>
    <w:rsid w:val="138B792F"/>
    <w:rsid w:val="138D085B"/>
    <w:rsid w:val="13910868"/>
    <w:rsid w:val="13913D0C"/>
    <w:rsid w:val="13953028"/>
    <w:rsid w:val="139A2B0D"/>
    <w:rsid w:val="13A16276"/>
    <w:rsid w:val="13A8182F"/>
    <w:rsid w:val="13AC081B"/>
    <w:rsid w:val="13B60927"/>
    <w:rsid w:val="13B745A7"/>
    <w:rsid w:val="13BC561F"/>
    <w:rsid w:val="13BD6C61"/>
    <w:rsid w:val="13C819BD"/>
    <w:rsid w:val="13CA1419"/>
    <w:rsid w:val="13D31CCD"/>
    <w:rsid w:val="13DB748C"/>
    <w:rsid w:val="13E27A0E"/>
    <w:rsid w:val="13EF32A9"/>
    <w:rsid w:val="13FF5061"/>
    <w:rsid w:val="14045CA8"/>
    <w:rsid w:val="14050219"/>
    <w:rsid w:val="140C31E9"/>
    <w:rsid w:val="140D2FA5"/>
    <w:rsid w:val="141106FD"/>
    <w:rsid w:val="14115973"/>
    <w:rsid w:val="14130A37"/>
    <w:rsid w:val="14171CEA"/>
    <w:rsid w:val="14197547"/>
    <w:rsid w:val="141976CC"/>
    <w:rsid w:val="141A788D"/>
    <w:rsid w:val="142B38B4"/>
    <w:rsid w:val="1432061C"/>
    <w:rsid w:val="14344C83"/>
    <w:rsid w:val="14387484"/>
    <w:rsid w:val="143A00BF"/>
    <w:rsid w:val="14445267"/>
    <w:rsid w:val="144466E5"/>
    <w:rsid w:val="144C03E9"/>
    <w:rsid w:val="144D0044"/>
    <w:rsid w:val="144D505A"/>
    <w:rsid w:val="145213E2"/>
    <w:rsid w:val="145356CF"/>
    <w:rsid w:val="145A670A"/>
    <w:rsid w:val="145E5950"/>
    <w:rsid w:val="14684232"/>
    <w:rsid w:val="146A41FB"/>
    <w:rsid w:val="14787F8F"/>
    <w:rsid w:val="147C4D44"/>
    <w:rsid w:val="14834A3F"/>
    <w:rsid w:val="148774F5"/>
    <w:rsid w:val="148B1493"/>
    <w:rsid w:val="148D67A9"/>
    <w:rsid w:val="14942326"/>
    <w:rsid w:val="14954C58"/>
    <w:rsid w:val="14971A05"/>
    <w:rsid w:val="149E3843"/>
    <w:rsid w:val="14A64146"/>
    <w:rsid w:val="14A768B8"/>
    <w:rsid w:val="14AD04C4"/>
    <w:rsid w:val="14AE1532"/>
    <w:rsid w:val="14AE65C4"/>
    <w:rsid w:val="14AF4AE6"/>
    <w:rsid w:val="14AF7BD6"/>
    <w:rsid w:val="14B03A10"/>
    <w:rsid w:val="14B40629"/>
    <w:rsid w:val="14C177EA"/>
    <w:rsid w:val="14C51618"/>
    <w:rsid w:val="14D23510"/>
    <w:rsid w:val="14D60FAF"/>
    <w:rsid w:val="14D63F89"/>
    <w:rsid w:val="14E8433B"/>
    <w:rsid w:val="14E91F9B"/>
    <w:rsid w:val="14EE7EE7"/>
    <w:rsid w:val="14F112DE"/>
    <w:rsid w:val="14F9228F"/>
    <w:rsid w:val="14FE7947"/>
    <w:rsid w:val="14FF29F3"/>
    <w:rsid w:val="150F1D82"/>
    <w:rsid w:val="15133C95"/>
    <w:rsid w:val="151C7583"/>
    <w:rsid w:val="15240C90"/>
    <w:rsid w:val="1525244D"/>
    <w:rsid w:val="1527613B"/>
    <w:rsid w:val="15280D7A"/>
    <w:rsid w:val="152C4917"/>
    <w:rsid w:val="15313204"/>
    <w:rsid w:val="153D38F8"/>
    <w:rsid w:val="153F2ABB"/>
    <w:rsid w:val="154408E3"/>
    <w:rsid w:val="15445008"/>
    <w:rsid w:val="154C5B6A"/>
    <w:rsid w:val="1552416F"/>
    <w:rsid w:val="155640AB"/>
    <w:rsid w:val="155A22AD"/>
    <w:rsid w:val="155B76AA"/>
    <w:rsid w:val="1562787B"/>
    <w:rsid w:val="15633DF4"/>
    <w:rsid w:val="15680F78"/>
    <w:rsid w:val="156C401B"/>
    <w:rsid w:val="1576447F"/>
    <w:rsid w:val="157F27DA"/>
    <w:rsid w:val="158179D5"/>
    <w:rsid w:val="15846B6E"/>
    <w:rsid w:val="15876424"/>
    <w:rsid w:val="15925909"/>
    <w:rsid w:val="15A91F3C"/>
    <w:rsid w:val="15AA6BA2"/>
    <w:rsid w:val="15AF17FA"/>
    <w:rsid w:val="15B846EE"/>
    <w:rsid w:val="15CB0909"/>
    <w:rsid w:val="15D27E18"/>
    <w:rsid w:val="15D3035E"/>
    <w:rsid w:val="15D44E2F"/>
    <w:rsid w:val="15DC5D46"/>
    <w:rsid w:val="15E252A8"/>
    <w:rsid w:val="15E728FE"/>
    <w:rsid w:val="15E82626"/>
    <w:rsid w:val="15ED62E6"/>
    <w:rsid w:val="15F977BC"/>
    <w:rsid w:val="15FC4602"/>
    <w:rsid w:val="15FE6BAB"/>
    <w:rsid w:val="16030F5A"/>
    <w:rsid w:val="1605337F"/>
    <w:rsid w:val="16054483"/>
    <w:rsid w:val="1606091A"/>
    <w:rsid w:val="160734CA"/>
    <w:rsid w:val="160E1484"/>
    <w:rsid w:val="16132722"/>
    <w:rsid w:val="1615164F"/>
    <w:rsid w:val="161D59CC"/>
    <w:rsid w:val="16201E6D"/>
    <w:rsid w:val="1631196C"/>
    <w:rsid w:val="16314DF2"/>
    <w:rsid w:val="163D25E2"/>
    <w:rsid w:val="163E7756"/>
    <w:rsid w:val="164867F1"/>
    <w:rsid w:val="164C6A2E"/>
    <w:rsid w:val="165E5DB7"/>
    <w:rsid w:val="16632E9F"/>
    <w:rsid w:val="166C00C2"/>
    <w:rsid w:val="16710883"/>
    <w:rsid w:val="16735B14"/>
    <w:rsid w:val="16750118"/>
    <w:rsid w:val="16792683"/>
    <w:rsid w:val="168306EC"/>
    <w:rsid w:val="168903CD"/>
    <w:rsid w:val="169927ED"/>
    <w:rsid w:val="169D7848"/>
    <w:rsid w:val="16AA0331"/>
    <w:rsid w:val="16AC14D0"/>
    <w:rsid w:val="16AD3C64"/>
    <w:rsid w:val="16AF6275"/>
    <w:rsid w:val="16B211CE"/>
    <w:rsid w:val="16B75283"/>
    <w:rsid w:val="16C00116"/>
    <w:rsid w:val="16C0582B"/>
    <w:rsid w:val="16C81825"/>
    <w:rsid w:val="16CB6819"/>
    <w:rsid w:val="16CD08A4"/>
    <w:rsid w:val="16D6450B"/>
    <w:rsid w:val="16E271F8"/>
    <w:rsid w:val="16E74434"/>
    <w:rsid w:val="16E86D3E"/>
    <w:rsid w:val="16EE40E3"/>
    <w:rsid w:val="16F1648A"/>
    <w:rsid w:val="16F471C0"/>
    <w:rsid w:val="16F56A31"/>
    <w:rsid w:val="16FC43F0"/>
    <w:rsid w:val="16FD1BD5"/>
    <w:rsid w:val="1705041A"/>
    <w:rsid w:val="17056F1F"/>
    <w:rsid w:val="171E4261"/>
    <w:rsid w:val="17285DA9"/>
    <w:rsid w:val="172A7A52"/>
    <w:rsid w:val="172C344C"/>
    <w:rsid w:val="172C3DD5"/>
    <w:rsid w:val="172F7820"/>
    <w:rsid w:val="17340562"/>
    <w:rsid w:val="173B65C4"/>
    <w:rsid w:val="17413A24"/>
    <w:rsid w:val="174177FF"/>
    <w:rsid w:val="1743179F"/>
    <w:rsid w:val="17475EB9"/>
    <w:rsid w:val="174C4C4E"/>
    <w:rsid w:val="174E2E8C"/>
    <w:rsid w:val="17577717"/>
    <w:rsid w:val="17592F6D"/>
    <w:rsid w:val="175D259E"/>
    <w:rsid w:val="175F4B5F"/>
    <w:rsid w:val="178A4348"/>
    <w:rsid w:val="178A7F4A"/>
    <w:rsid w:val="179862F0"/>
    <w:rsid w:val="17995E10"/>
    <w:rsid w:val="179B4858"/>
    <w:rsid w:val="17A6736B"/>
    <w:rsid w:val="17A70F6E"/>
    <w:rsid w:val="17A84907"/>
    <w:rsid w:val="17B217E7"/>
    <w:rsid w:val="17B73706"/>
    <w:rsid w:val="17BC188D"/>
    <w:rsid w:val="17BD15B8"/>
    <w:rsid w:val="17C46CDB"/>
    <w:rsid w:val="17C47B15"/>
    <w:rsid w:val="17C77138"/>
    <w:rsid w:val="17D45383"/>
    <w:rsid w:val="17D720F8"/>
    <w:rsid w:val="17D95235"/>
    <w:rsid w:val="17E80E0C"/>
    <w:rsid w:val="17EA0C06"/>
    <w:rsid w:val="17F32411"/>
    <w:rsid w:val="17F32F01"/>
    <w:rsid w:val="17FD66B3"/>
    <w:rsid w:val="17FF509C"/>
    <w:rsid w:val="18054616"/>
    <w:rsid w:val="180C3B09"/>
    <w:rsid w:val="180E6352"/>
    <w:rsid w:val="181A26F2"/>
    <w:rsid w:val="181B1D8F"/>
    <w:rsid w:val="181E5312"/>
    <w:rsid w:val="181F4B31"/>
    <w:rsid w:val="1820596B"/>
    <w:rsid w:val="182422AC"/>
    <w:rsid w:val="18276A44"/>
    <w:rsid w:val="182A285F"/>
    <w:rsid w:val="18300DA6"/>
    <w:rsid w:val="18311BCE"/>
    <w:rsid w:val="183420F5"/>
    <w:rsid w:val="183668A0"/>
    <w:rsid w:val="1838431E"/>
    <w:rsid w:val="18386170"/>
    <w:rsid w:val="18403D64"/>
    <w:rsid w:val="1843158B"/>
    <w:rsid w:val="184A773B"/>
    <w:rsid w:val="184E0A3C"/>
    <w:rsid w:val="18540197"/>
    <w:rsid w:val="18557303"/>
    <w:rsid w:val="18692A6F"/>
    <w:rsid w:val="187758B5"/>
    <w:rsid w:val="18783E98"/>
    <w:rsid w:val="187A308B"/>
    <w:rsid w:val="187F2B5A"/>
    <w:rsid w:val="18913BE4"/>
    <w:rsid w:val="18946B24"/>
    <w:rsid w:val="189A4E94"/>
    <w:rsid w:val="189E09FB"/>
    <w:rsid w:val="18A25444"/>
    <w:rsid w:val="18A932C3"/>
    <w:rsid w:val="18AA38BF"/>
    <w:rsid w:val="18AC64B2"/>
    <w:rsid w:val="18AF26DD"/>
    <w:rsid w:val="18B65174"/>
    <w:rsid w:val="18BB5AB7"/>
    <w:rsid w:val="18BC2DD0"/>
    <w:rsid w:val="18C018A5"/>
    <w:rsid w:val="18C042E5"/>
    <w:rsid w:val="18C066FF"/>
    <w:rsid w:val="18CD09A0"/>
    <w:rsid w:val="18CD1900"/>
    <w:rsid w:val="18CD50BA"/>
    <w:rsid w:val="18CE6EED"/>
    <w:rsid w:val="18D24D07"/>
    <w:rsid w:val="18D94055"/>
    <w:rsid w:val="18DE611A"/>
    <w:rsid w:val="18E41D77"/>
    <w:rsid w:val="18E666AB"/>
    <w:rsid w:val="18F25B41"/>
    <w:rsid w:val="18F853DD"/>
    <w:rsid w:val="18FA5A6D"/>
    <w:rsid w:val="18FF3088"/>
    <w:rsid w:val="190C2CCF"/>
    <w:rsid w:val="19176E37"/>
    <w:rsid w:val="191B2FB3"/>
    <w:rsid w:val="191C1D6E"/>
    <w:rsid w:val="191C2C7A"/>
    <w:rsid w:val="192120B1"/>
    <w:rsid w:val="19217965"/>
    <w:rsid w:val="192854F2"/>
    <w:rsid w:val="19293704"/>
    <w:rsid w:val="19331878"/>
    <w:rsid w:val="19337FB7"/>
    <w:rsid w:val="193649A2"/>
    <w:rsid w:val="193724A4"/>
    <w:rsid w:val="19396BBC"/>
    <w:rsid w:val="19430869"/>
    <w:rsid w:val="195C68F6"/>
    <w:rsid w:val="195E1A28"/>
    <w:rsid w:val="196D5077"/>
    <w:rsid w:val="196F4756"/>
    <w:rsid w:val="19765DE2"/>
    <w:rsid w:val="198751C3"/>
    <w:rsid w:val="198951A6"/>
    <w:rsid w:val="198A2850"/>
    <w:rsid w:val="19901A87"/>
    <w:rsid w:val="19AF18AA"/>
    <w:rsid w:val="19B010B2"/>
    <w:rsid w:val="19B233EC"/>
    <w:rsid w:val="19B300CB"/>
    <w:rsid w:val="19B87BF6"/>
    <w:rsid w:val="19BA1DDA"/>
    <w:rsid w:val="19BA31EA"/>
    <w:rsid w:val="19BF2452"/>
    <w:rsid w:val="19C574E2"/>
    <w:rsid w:val="19CF70B3"/>
    <w:rsid w:val="19D93C88"/>
    <w:rsid w:val="19DF74E2"/>
    <w:rsid w:val="19E43909"/>
    <w:rsid w:val="19E73171"/>
    <w:rsid w:val="19E83EB0"/>
    <w:rsid w:val="19ED7D5F"/>
    <w:rsid w:val="19EE4EFC"/>
    <w:rsid w:val="19F4228B"/>
    <w:rsid w:val="19FE778E"/>
    <w:rsid w:val="19FF71B8"/>
    <w:rsid w:val="1A03197E"/>
    <w:rsid w:val="1A0409B1"/>
    <w:rsid w:val="1A1C0C1D"/>
    <w:rsid w:val="1A1D6BE0"/>
    <w:rsid w:val="1A1D7EC9"/>
    <w:rsid w:val="1A275C6A"/>
    <w:rsid w:val="1A2B24DF"/>
    <w:rsid w:val="1A2E7E68"/>
    <w:rsid w:val="1A35281E"/>
    <w:rsid w:val="1A387342"/>
    <w:rsid w:val="1A3A3C44"/>
    <w:rsid w:val="1A4133F0"/>
    <w:rsid w:val="1A4E715D"/>
    <w:rsid w:val="1A5C5229"/>
    <w:rsid w:val="1A633312"/>
    <w:rsid w:val="1A691041"/>
    <w:rsid w:val="1A6C59DF"/>
    <w:rsid w:val="1A711F10"/>
    <w:rsid w:val="1A7251F8"/>
    <w:rsid w:val="1A725CAA"/>
    <w:rsid w:val="1A796949"/>
    <w:rsid w:val="1A8306ED"/>
    <w:rsid w:val="1A856E4D"/>
    <w:rsid w:val="1A8777C3"/>
    <w:rsid w:val="1A896163"/>
    <w:rsid w:val="1A8C0100"/>
    <w:rsid w:val="1A8C0463"/>
    <w:rsid w:val="1A907197"/>
    <w:rsid w:val="1A997FC6"/>
    <w:rsid w:val="1AA76EAC"/>
    <w:rsid w:val="1AA912D2"/>
    <w:rsid w:val="1AA95CFB"/>
    <w:rsid w:val="1AB26AE6"/>
    <w:rsid w:val="1AB35B0B"/>
    <w:rsid w:val="1AB83FC8"/>
    <w:rsid w:val="1AC60D3C"/>
    <w:rsid w:val="1AD25FA5"/>
    <w:rsid w:val="1AD26418"/>
    <w:rsid w:val="1AD64959"/>
    <w:rsid w:val="1ADE224C"/>
    <w:rsid w:val="1AE07CDB"/>
    <w:rsid w:val="1AE85F18"/>
    <w:rsid w:val="1AEC390D"/>
    <w:rsid w:val="1AF266FD"/>
    <w:rsid w:val="1AFC1B87"/>
    <w:rsid w:val="1B033D72"/>
    <w:rsid w:val="1B0B53FB"/>
    <w:rsid w:val="1B0F04FE"/>
    <w:rsid w:val="1B131123"/>
    <w:rsid w:val="1B1530FF"/>
    <w:rsid w:val="1B1668C3"/>
    <w:rsid w:val="1B201BF3"/>
    <w:rsid w:val="1B22274D"/>
    <w:rsid w:val="1B233ED4"/>
    <w:rsid w:val="1B2C69B6"/>
    <w:rsid w:val="1B346F97"/>
    <w:rsid w:val="1B35104F"/>
    <w:rsid w:val="1B3D79B2"/>
    <w:rsid w:val="1B461AFE"/>
    <w:rsid w:val="1B480C06"/>
    <w:rsid w:val="1B4B3C10"/>
    <w:rsid w:val="1B5050A3"/>
    <w:rsid w:val="1B507B57"/>
    <w:rsid w:val="1B514618"/>
    <w:rsid w:val="1B515EE6"/>
    <w:rsid w:val="1B565FB5"/>
    <w:rsid w:val="1B60543F"/>
    <w:rsid w:val="1B632CF8"/>
    <w:rsid w:val="1B644A00"/>
    <w:rsid w:val="1B6C540C"/>
    <w:rsid w:val="1B7E0A19"/>
    <w:rsid w:val="1B863FC4"/>
    <w:rsid w:val="1B867FA1"/>
    <w:rsid w:val="1B8A27E3"/>
    <w:rsid w:val="1B8F7D1E"/>
    <w:rsid w:val="1B994EFA"/>
    <w:rsid w:val="1BA07D8B"/>
    <w:rsid w:val="1BA1301A"/>
    <w:rsid w:val="1BA40BFB"/>
    <w:rsid w:val="1BA52DD8"/>
    <w:rsid w:val="1BAB2896"/>
    <w:rsid w:val="1BB65D00"/>
    <w:rsid w:val="1BBE0189"/>
    <w:rsid w:val="1BC33C3A"/>
    <w:rsid w:val="1BC37998"/>
    <w:rsid w:val="1BC446DE"/>
    <w:rsid w:val="1BC856B0"/>
    <w:rsid w:val="1BDF5D1C"/>
    <w:rsid w:val="1BF16EED"/>
    <w:rsid w:val="1BF874C7"/>
    <w:rsid w:val="1BFA0258"/>
    <w:rsid w:val="1BFE6261"/>
    <w:rsid w:val="1C007798"/>
    <w:rsid w:val="1C0450A9"/>
    <w:rsid w:val="1C0C400C"/>
    <w:rsid w:val="1C0D146B"/>
    <w:rsid w:val="1C1620D0"/>
    <w:rsid w:val="1C1F1330"/>
    <w:rsid w:val="1C226A0C"/>
    <w:rsid w:val="1C276C6E"/>
    <w:rsid w:val="1C282FA4"/>
    <w:rsid w:val="1C383519"/>
    <w:rsid w:val="1C3E4257"/>
    <w:rsid w:val="1C402AF7"/>
    <w:rsid w:val="1C491B04"/>
    <w:rsid w:val="1C4956C3"/>
    <w:rsid w:val="1C4B6F77"/>
    <w:rsid w:val="1C4D47CC"/>
    <w:rsid w:val="1C4F2AFB"/>
    <w:rsid w:val="1C532125"/>
    <w:rsid w:val="1C643716"/>
    <w:rsid w:val="1C68343D"/>
    <w:rsid w:val="1C740581"/>
    <w:rsid w:val="1C793C09"/>
    <w:rsid w:val="1C795CCD"/>
    <w:rsid w:val="1C7A153F"/>
    <w:rsid w:val="1C7F6DF3"/>
    <w:rsid w:val="1C816A3C"/>
    <w:rsid w:val="1C834A0B"/>
    <w:rsid w:val="1C862426"/>
    <w:rsid w:val="1C8C3533"/>
    <w:rsid w:val="1C8F204C"/>
    <w:rsid w:val="1C9076A4"/>
    <w:rsid w:val="1C94311C"/>
    <w:rsid w:val="1C96650B"/>
    <w:rsid w:val="1C976A09"/>
    <w:rsid w:val="1C9A0360"/>
    <w:rsid w:val="1C9C3324"/>
    <w:rsid w:val="1C9C56DA"/>
    <w:rsid w:val="1CA918FE"/>
    <w:rsid w:val="1CB576F8"/>
    <w:rsid w:val="1CC423B3"/>
    <w:rsid w:val="1CD613FE"/>
    <w:rsid w:val="1CDA6550"/>
    <w:rsid w:val="1CE16BFA"/>
    <w:rsid w:val="1CE23A53"/>
    <w:rsid w:val="1CEF7482"/>
    <w:rsid w:val="1CF14A28"/>
    <w:rsid w:val="1CF51212"/>
    <w:rsid w:val="1D002E33"/>
    <w:rsid w:val="1D0104BF"/>
    <w:rsid w:val="1D027C2C"/>
    <w:rsid w:val="1D0330EB"/>
    <w:rsid w:val="1D0923F8"/>
    <w:rsid w:val="1D0B36E9"/>
    <w:rsid w:val="1D0D5111"/>
    <w:rsid w:val="1D197541"/>
    <w:rsid w:val="1D1B1BB8"/>
    <w:rsid w:val="1D1C403E"/>
    <w:rsid w:val="1D257F75"/>
    <w:rsid w:val="1D26306F"/>
    <w:rsid w:val="1D2D0B72"/>
    <w:rsid w:val="1D2E6B68"/>
    <w:rsid w:val="1D3366D6"/>
    <w:rsid w:val="1D351E08"/>
    <w:rsid w:val="1D3D712E"/>
    <w:rsid w:val="1D445433"/>
    <w:rsid w:val="1D453684"/>
    <w:rsid w:val="1D453D95"/>
    <w:rsid w:val="1D46017A"/>
    <w:rsid w:val="1D48548E"/>
    <w:rsid w:val="1D5459C1"/>
    <w:rsid w:val="1D566260"/>
    <w:rsid w:val="1D592387"/>
    <w:rsid w:val="1D5949D5"/>
    <w:rsid w:val="1D5A3C34"/>
    <w:rsid w:val="1D62292A"/>
    <w:rsid w:val="1D6543B7"/>
    <w:rsid w:val="1D6727D6"/>
    <w:rsid w:val="1D74439D"/>
    <w:rsid w:val="1D751ED1"/>
    <w:rsid w:val="1D7B54DF"/>
    <w:rsid w:val="1D8867DB"/>
    <w:rsid w:val="1D914AA6"/>
    <w:rsid w:val="1D9714BE"/>
    <w:rsid w:val="1D9A31E5"/>
    <w:rsid w:val="1D9B12B8"/>
    <w:rsid w:val="1D9F1F32"/>
    <w:rsid w:val="1DA375C8"/>
    <w:rsid w:val="1DA430D0"/>
    <w:rsid w:val="1DA50EC4"/>
    <w:rsid w:val="1DA879B8"/>
    <w:rsid w:val="1DA95A17"/>
    <w:rsid w:val="1DB50D2D"/>
    <w:rsid w:val="1DC52355"/>
    <w:rsid w:val="1DCA651A"/>
    <w:rsid w:val="1DCE1EFD"/>
    <w:rsid w:val="1DD16FF4"/>
    <w:rsid w:val="1DD41882"/>
    <w:rsid w:val="1DD74972"/>
    <w:rsid w:val="1DE12CA8"/>
    <w:rsid w:val="1DEF0743"/>
    <w:rsid w:val="1DF63651"/>
    <w:rsid w:val="1DFD656B"/>
    <w:rsid w:val="1E045288"/>
    <w:rsid w:val="1E087431"/>
    <w:rsid w:val="1E0D5783"/>
    <w:rsid w:val="1E101D1B"/>
    <w:rsid w:val="1E246D53"/>
    <w:rsid w:val="1E2A5C78"/>
    <w:rsid w:val="1E3074DF"/>
    <w:rsid w:val="1E340318"/>
    <w:rsid w:val="1E347212"/>
    <w:rsid w:val="1E347774"/>
    <w:rsid w:val="1E384B99"/>
    <w:rsid w:val="1E3E7572"/>
    <w:rsid w:val="1E3F6B70"/>
    <w:rsid w:val="1E586088"/>
    <w:rsid w:val="1E607527"/>
    <w:rsid w:val="1E623708"/>
    <w:rsid w:val="1E625ABC"/>
    <w:rsid w:val="1E6644E6"/>
    <w:rsid w:val="1E6A4200"/>
    <w:rsid w:val="1E6B3481"/>
    <w:rsid w:val="1E6D797E"/>
    <w:rsid w:val="1E6E0D27"/>
    <w:rsid w:val="1E743267"/>
    <w:rsid w:val="1E7B7D05"/>
    <w:rsid w:val="1E8159E8"/>
    <w:rsid w:val="1E8B1BC6"/>
    <w:rsid w:val="1E9F5E64"/>
    <w:rsid w:val="1EA02814"/>
    <w:rsid w:val="1ECB1E25"/>
    <w:rsid w:val="1ECB40D2"/>
    <w:rsid w:val="1ECE1E3A"/>
    <w:rsid w:val="1ED144AC"/>
    <w:rsid w:val="1ED52E16"/>
    <w:rsid w:val="1ED65260"/>
    <w:rsid w:val="1EDE26E6"/>
    <w:rsid w:val="1EE43963"/>
    <w:rsid w:val="1EEC6405"/>
    <w:rsid w:val="1EF10217"/>
    <w:rsid w:val="1EF139BF"/>
    <w:rsid w:val="1EFF43BD"/>
    <w:rsid w:val="1F04421F"/>
    <w:rsid w:val="1F1339FF"/>
    <w:rsid w:val="1F170A07"/>
    <w:rsid w:val="1F1821BE"/>
    <w:rsid w:val="1F2212AF"/>
    <w:rsid w:val="1F280AFF"/>
    <w:rsid w:val="1F2964D2"/>
    <w:rsid w:val="1F311B59"/>
    <w:rsid w:val="1F367001"/>
    <w:rsid w:val="1F491972"/>
    <w:rsid w:val="1F4F631E"/>
    <w:rsid w:val="1F5546C2"/>
    <w:rsid w:val="1F5A5C1F"/>
    <w:rsid w:val="1F6A1488"/>
    <w:rsid w:val="1F76576F"/>
    <w:rsid w:val="1F782B1C"/>
    <w:rsid w:val="1F7846DC"/>
    <w:rsid w:val="1F7C4664"/>
    <w:rsid w:val="1F84183B"/>
    <w:rsid w:val="1F85619C"/>
    <w:rsid w:val="1F8C12D6"/>
    <w:rsid w:val="1FA81B99"/>
    <w:rsid w:val="1FA95541"/>
    <w:rsid w:val="1FAB063B"/>
    <w:rsid w:val="1FBA1414"/>
    <w:rsid w:val="1FBB0148"/>
    <w:rsid w:val="1FBF5BB2"/>
    <w:rsid w:val="1FC70C9E"/>
    <w:rsid w:val="1FCB3D49"/>
    <w:rsid w:val="1FCC4BE6"/>
    <w:rsid w:val="1FD60A02"/>
    <w:rsid w:val="1FE27733"/>
    <w:rsid w:val="1FE9052B"/>
    <w:rsid w:val="1FE91329"/>
    <w:rsid w:val="1FEC4239"/>
    <w:rsid w:val="1FEE4225"/>
    <w:rsid w:val="1FF417E2"/>
    <w:rsid w:val="1FF65319"/>
    <w:rsid w:val="1FFA6170"/>
    <w:rsid w:val="20053BA9"/>
    <w:rsid w:val="20070B58"/>
    <w:rsid w:val="200B416D"/>
    <w:rsid w:val="200F3388"/>
    <w:rsid w:val="2011292A"/>
    <w:rsid w:val="20132029"/>
    <w:rsid w:val="201A1FA5"/>
    <w:rsid w:val="201C01A9"/>
    <w:rsid w:val="20231DED"/>
    <w:rsid w:val="202F579D"/>
    <w:rsid w:val="2034691E"/>
    <w:rsid w:val="20377D72"/>
    <w:rsid w:val="203D5FD3"/>
    <w:rsid w:val="203E1E44"/>
    <w:rsid w:val="204C1E8E"/>
    <w:rsid w:val="204E308A"/>
    <w:rsid w:val="204F309C"/>
    <w:rsid w:val="20540542"/>
    <w:rsid w:val="205619FE"/>
    <w:rsid w:val="205B3BF9"/>
    <w:rsid w:val="20605767"/>
    <w:rsid w:val="20696E49"/>
    <w:rsid w:val="206B1481"/>
    <w:rsid w:val="206B3CE2"/>
    <w:rsid w:val="206D66C3"/>
    <w:rsid w:val="20707115"/>
    <w:rsid w:val="20726AFB"/>
    <w:rsid w:val="207515D6"/>
    <w:rsid w:val="20754854"/>
    <w:rsid w:val="207B63C2"/>
    <w:rsid w:val="208B4908"/>
    <w:rsid w:val="208F58AE"/>
    <w:rsid w:val="20923EB3"/>
    <w:rsid w:val="209411F8"/>
    <w:rsid w:val="209F5676"/>
    <w:rsid w:val="20A4166E"/>
    <w:rsid w:val="20A771B0"/>
    <w:rsid w:val="20AE596D"/>
    <w:rsid w:val="20B74027"/>
    <w:rsid w:val="20B759AB"/>
    <w:rsid w:val="20B90A79"/>
    <w:rsid w:val="20BC6C8D"/>
    <w:rsid w:val="20CA603C"/>
    <w:rsid w:val="20CC1715"/>
    <w:rsid w:val="20CE2143"/>
    <w:rsid w:val="20D21863"/>
    <w:rsid w:val="20DB3254"/>
    <w:rsid w:val="20DC4A46"/>
    <w:rsid w:val="20E17B2D"/>
    <w:rsid w:val="20E41DCC"/>
    <w:rsid w:val="20EB2810"/>
    <w:rsid w:val="20EB4167"/>
    <w:rsid w:val="20F17FB7"/>
    <w:rsid w:val="20F24853"/>
    <w:rsid w:val="21077EDF"/>
    <w:rsid w:val="21126473"/>
    <w:rsid w:val="21182D6C"/>
    <w:rsid w:val="211A458F"/>
    <w:rsid w:val="212D001A"/>
    <w:rsid w:val="213B655C"/>
    <w:rsid w:val="213E5E94"/>
    <w:rsid w:val="213E6634"/>
    <w:rsid w:val="2140194E"/>
    <w:rsid w:val="21440320"/>
    <w:rsid w:val="214965E9"/>
    <w:rsid w:val="214D5965"/>
    <w:rsid w:val="215267F9"/>
    <w:rsid w:val="21561E44"/>
    <w:rsid w:val="21585708"/>
    <w:rsid w:val="21644F31"/>
    <w:rsid w:val="21656A6F"/>
    <w:rsid w:val="21683262"/>
    <w:rsid w:val="216B64D9"/>
    <w:rsid w:val="21720506"/>
    <w:rsid w:val="21786E87"/>
    <w:rsid w:val="217931E8"/>
    <w:rsid w:val="217972E5"/>
    <w:rsid w:val="217B1FE4"/>
    <w:rsid w:val="217F1046"/>
    <w:rsid w:val="21865A85"/>
    <w:rsid w:val="218A462F"/>
    <w:rsid w:val="218C4C45"/>
    <w:rsid w:val="21A606AA"/>
    <w:rsid w:val="21A65434"/>
    <w:rsid w:val="21A776AF"/>
    <w:rsid w:val="21AE4F3D"/>
    <w:rsid w:val="21D2450B"/>
    <w:rsid w:val="21D52080"/>
    <w:rsid w:val="21E347E0"/>
    <w:rsid w:val="21ED4096"/>
    <w:rsid w:val="21EF4537"/>
    <w:rsid w:val="21F00F67"/>
    <w:rsid w:val="21F32B72"/>
    <w:rsid w:val="21F6345B"/>
    <w:rsid w:val="22076180"/>
    <w:rsid w:val="22091044"/>
    <w:rsid w:val="221D78F3"/>
    <w:rsid w:val="221E5D17"/>
    <w:rsid w:val="22272312"/>
    <w:rsid w:val="2229345B"/>
    <w:rsid w:val="222979C5"/>
    <w:rsid w:val="22343541"/>
    <w:rsid w:val="22374067"/>
    <w:rsid w:val="223B13F2"/>
    <w:rsid w:val="223B6A62"/>
    <w:rsid w:val="225A0C26"/>
    <w:rsid w:val="22636C07"/>
    <w:rsid w:val="22847C1A"/>
    <w:rsid w:val="228D10A8"/>
    <w:rsid w:val="229418BF"/>
    <w:rsid w:val="22947E66"/>
    <w:rsid w:val="229651E4"/>
    <w:rsid w:val="229C2488"/>
    <w:rsid w:val="22A9009C"/>
    <w:rsid w:val="22AB7AC2"/>
    <w:rsid w:val="22B469B2"/>
    <w:rsid w:val="22B51467"/>
    <w:rsid w:val="22CD0468"/>
    <w:rsid w:val="22D31038"/>
    <w:rsid w:val="22D53E11"/>
    <w:rsid w:val="22E441FF"/>
    <w:rsid w:val="22EB7A69"/>
    <w:rsid w:val="22ED4C21"/>
    <w:rsid w:val="22F372D4"/>
    <w:rsid w:val="22F524F7"/>
    <w:rsid w:val="22F634DB"/>
    <w:rsid w:val="23016D89"/>
    <w:rsid w:val="230E502C"/>
    <w:rsid w:val="23115F87"/>
    <w:rsid w:val="2313292F"/>
    <w:rsid w:val="23156C99"/>
    <w:rsid w:val="232000DA"/>
    <w:rsid w:val="23241AE9"/>
    <w:rsid w:val="23242571"/>
    <w:rsid w:val="2326353C"/>
    <w:rsid w:val="23270374"/>
    <w:rsid w:val="23281F3F"/>
    <w:rsid w:val="232B6715"/>
    <w:rsid w:val="232D5A8A"/>
    <w:rsid w:val="232E762F"/>
    <w:rsid w:val="232F1F3E"/>
    <w:rsid w:val="23311AB2"/>
    <w:rsid w:val="234879F6"/>
    <w:rsid w:val="23504B19"/>
    <w:rsid w:val="235A077B"/>
    <w:rsid w:val="235C72D8"/>
    <w:rsid w:val="235F4E93"/>
    <w:rsid w:val="237E4CC8"/>
    <w:rsid w:val="23837B93"/>
    <w:rsid w:val="23882BC7"/>
    <w:rsid w:val="239357F9"/>
    <w:rsid w:val="2394408C"/>
    <w:rsid w:val="23955C07"/>
    <w:rsid w:val="239E2BC2"/>
    <w:rsid w:val="23A32E6B"/>
    <w:rsid w:val="23A5237E"/>
    <w:rsid w:val="23A67DE6"/>
    <w:rsid w:val="23A90623"/>
    <w:rsid w:val="23B07918"/>
    <w:rsid w:val="23B6556C"/>
    <w:rsid w:val="23B77ABF"/>
    <w:rsid w:val="23BC493E"/>
    <w:rsid w:val="23C14AF7"/>
    <w:rsid w:val="23CE5891"/>
    <w:rsid w:val="23D12E6B"/>
    <w:rsid w:val="23D5611F"/>
    <w:rsid w:val="23D61F41"/>
    <w:rsid w:val="23DC5330"/>
    <w:rsid w:val="23E819EE"/>
    <w:rsid w:val="23F06C6E"/>
    <w:rsid w:val="23F41C4E"/>
    <w:rsid w:val="23F46E1B"/>
    <w:rsid w:val="24014249"/>
    <w:rsid w:val="24014F79"/>
    <w:rsid w:val="24017E07"/>
    <w:rsid w:val="24063C2A"/>
    <w:rsid w:val="24117156"/>
    <w:rsid w:val="241F4C5C"/>
    <w:rsid w:val="24224EF1"/>
    <w:rsid w:val="242B2075"/>
    <w:rsid w:val="24330306"/>
    <w:rsid w:val="243B00E3"/>
    <w:rsid w:val="244A43FE"/>
    <w:rsid w:val="24507B39"/>
    <w:rsid w:val="24547F01"/>
    <w:rsid w:val="2456627A"/>
    <w:rsid w:val="245F7E21"/>
    <w:rsid w:val="2474713B"/>
    <w:rsid w:val="2477153F"/>
    <w:rsid w:val="247B5F13"/>
    <w:rsid w:val="247C21E2"/>
    <w:rsid w:val="247D1E9E"/>
    <w:rsid w:val="24817A23"/>
    <w:rsid w:val="24895EDF"/>
    <w:rsid w:val="24912865"/>
    <w:rsid w:val="24913480"/>
    <w:rsid w:val="24936526"/>
    <w:rsid w:val="249405BB"/>
    <w:rsid w:val="249E5FEC"/>
    <w:rsid w:val="249F670E"/>
    <w:rsid w:val="249F75BF"/>
    <w:rsid w:val="24A234AD"/>
    <w:rsid w:val="24A85128"/>
    <w:rsid w:val="24B014C3"/>
    <w:rsid w:val="24B541B0"/>
    <w:rsid w:val="24B6416E"/>
    <w:rsid w:val="24B923FD"/>
    <w:rsid w:val="24BA50B1"/>
    <w:rsid w:val="24CA4C9E"/>
    <w:rsid w:val="24CA6C0C"/>
    <w:rsid w:val="24DF00EF"/>
    <w:rsid w:val="24E20023"/>
    <w:rsid w:val="24E348E3"/>
    <w:rsid w:val="24F15519"/>
    <w:rsid w:val="24F64D53"/>
    <w:rsid w:val="25044EC8"/>
    <w:rsid w:val="25090975"/>
    <w:rsid w:val="250D4262"/>
    <w:rsid w:val="25135268"/>
    <w:rsid w:val="251F48C3"/>
    <w:rsid w:val="252A1AEE"/>
    <w:rsid w:val="252A64E9"/>
    <w:rsid w:val="25344A92"/>
    <w:rsid w:val="25347132"/>
    <w:rsid w:val="25363FEC"/>
    <w:rsid w:val="25413531"/>
    <w:rsid w:val="25484A4F"/>
    <w:rsid w:val="254B01A3"/>
    <w:rsid w:val="254F63AD"/>
    <w:rsid w:val="25527146"/>
    <w:rsid w:val="25542C2B"/>
    <w:rsid w:val="25621704"/>
    <w:rsid w:val="25700D61"/>
    <w:rsid w:val="25794E3B"/>
    <w:rsid w:val="257D6A9E"/>
    <w:rsid w:val="25864A77"/>
    <w:rsid w:val="25913128"/>
    <w:rsid w:val="25986C76"/>
    <w:rsid w:val="259A33C9"/>
    <w:rsid w:val="259E5167"/>
    <w:rsid w:val="25B21BAF"/>
    <w:rsid w:val="25B33565"/>
    <w:rsid w:val="25B61ED0"/>
    <w:rsid w:val="25B97D89"/>
    <w:rsid w:val="25C21102"/>
    <w:rsid w:val="25C65ADC"/>
    <w:rsid w:val="25CE2B39"/>
    <w:rsid w:val="25CF1458"/>
    <w:rsid w:val="25D90644"/>
    <w:rsid w:val="25E343FA"/>
    <w:rsid w:val="25E40D3A"/>
    <w:rsid w:val="25E4534A"/>
    <w:rsid w:val="25E64398"/>
    <w:rsid w:val="25F55A2C"/>
    <w:rsid w:val="25F61EE2"/>
    <w:rsid w:val="260235C7"/>
    <w:rsid w:val="26082387"/>
    <w:rsid w:val="260E72E9"/>
    <w:rsid w:val="26137693"/>
    <w:rsid w:val="26171802"/>
    <w:rsid w:val="26204B01"/>
    <w:rsid w:val="262858C9"/>
    <w:rsid w:val="2631360F"/>
    <w:rsid w:val="263169A5"/>
    <w:rsid w:val="26326702"/>
    <w:rsid w:val="263740A3"/>
    <w:rsid w:val="263913EE"/>
    <w:rsid w:val="26397808"/>
    <w:rsid w:val="263A2BE6"/>
    <w:rsid w:val="26467615"/>
    <w:rsid w:val="264B5120"/>
    <w:rsid w:val="264D7AC3"/>
    <w:rsid w:val="264F1ED9"/>
    <w:rsid w:val="26576C6E"/>
    <w:rsid w:val="265E26DA"/>
    <w:rsid w:val="266379D6"/>
    <w:rsid w:val="26655EC4"/>
    <w:rsid w:val="26670E60"/>
    <w:rsid w:val="2668044D"/>
    <w:rsid w:val="267718D9"/>
    <w:rsid w:val="26777874"/>
    <w:rsid w:val="267A52D4"/>
    <w:rsid w:val="267C0D10"/>
    <w:rsid w:val="267D0D2B"/>
    <w:rsid w:val="267F7978"/>
    <w:rsid w:val="26822262"/>
    <w:rsid w:val="26852E25"/>
    <w:rsid w:val="2690150F"/>
    <w:rsid w:val="269636CC"/>
    <w:rsid w:val="269B139D"/>
    <w:rsid w:val="269F1239"/>
    <w:rsid w:val="26A1101B"/>
    <w:rsid w:val="26A166AF"/>
    <w:rsid w:val="26A32BAF"/>
    <w:rsid w:val="26A754C5"/>
    <w:rsid w:val="26AE437B"/>
    <w:rsid w:val="26C43A71"/>
    <w:rsid w:val="26C80A72"/>
    <w:rsid w:val="26D97A1B"/>
    <w:rsid w:val="26DC4B7A"/>
    <w:rsid w:val="26DD71D8"/>
    <w:rsid w:val="26F86E12"/>
    <w:rsid w:val="26FB5954"/>
    <w:rsid w:val="270A7E21"/>
    <w:rsid w:val="270C13E8"/>
    <w:rsid w:val="2717500D"/>
    <w:rsid w:val="271A75F7"/>
    <w:rsid w:val="271B4205"/>
    <w:rsid w:val="27224336"/>
    <w:rsid w:val="27255994"/>
    <w:rsid w:val="27285D46"/>
    <w:rsid w:val="2729662E"/>
    <w:rsid w:val="273C6E7E"/>
    <w:rsid w:val="2741235B"/>
    <w:rsid w:val="27446BEA"/>
    <w:rsid w:val="27446E8C"/>
    <w:rsid w:val="27461617"/>
    <w:rsid w:val="27461A40"/>
    <w:rsid w:val="274F02AD"/>
    <w:rsid w:val="27631F64"/>
    <w:rsid w:val="27632678"/>
    <w:rsid w:val="276344C3"/>
    <w:rsid w:val="276A55EE"/>
    <w:rsid w:val="276C19B5"/>
    <w:rsid w:val="277456B7"/>
    <w:rsid w:val="277503A8"/>
    <w:rsid w:val="27774627"/>
    <w:rsid w:val="278133B0"/>
    <w:rsid w:val="27877AE0"/>
    <w:rsid w:val="278B3038"/>
    <w:rsid w:val="27910C70"/>
    <w:rsid w:val="27931CB2"/>
    <w:rsid w:val="279C59B3"/>
    <w:rsid w:val="27A07643"/>
    <w:rsid w:val="27A44A32"/>
    <w:rsid w:val="27A56755"/>
    <w:rsid w:val="27AB0C3B"/>
    <w:rsid w:val="27AB142D"/>
    <w:rsid w:val="27C135E7"/>
    <w:rsid w:val="27C14E60"/>
    <w:rsid w:val="27CC2E8D"/>
    <w:rsid w:val="27DB4636"/>
    <w:rsid w:val="27E009AF"/>
    <w:rsid w:val="27E72A03"/>
    <w:rsid w:val="27E739D1"/>
    <w:rsid w:val="27E93330"/>
    <w:rsid w:val="27EC18FC"/>
    <w:rsid w:val="27EC6131"/>
    <w:rsid w:val="27F07ECC"/>
    <w:rsid w:val="27FA5955"/>
    <w:rsid w:val="27FD093D"/>
    <w:rsid w:val="27FF6FD7"/>
    <w:rsid w:val="281C1A56"/>
    <w:rsid w:val="281E7911"/>
    <w:rsid w:val="2828577D"/>
    <w:rsid w:val="282C056F"/>
    <w:rsid w:val="282F62FA"/>
    <w:rsid w:val="283C321D"/>
    <w:rsid w:val="283C7FFA"/>
    <w:rsid w:val="28411A29"/>
    <w:rsid w:val="284E2B64"/>
    <w:rsid w:val="28556B47"/>
    <w:rsid w:val="28563DA3"/>
    <w:rsid w:val="28656E04"/>
    <w:rsid w:val="28667C09"/>
    <w:rsid w:val="28682828"/>
    <w:rsid w:val="286933AC"/>
    <w:rsid w:val="28770552"/>
    <w:rsid w:val="28824BC2"/>
    <w:rsid w:val="288C3079"/>
    <w:rsid w:val="288F2DEE"/>
    <w:rsid w:val="289D139B"/>
    <w:rsid w:val="28A17454"/>
    <w:rsid w:val="28A84560"/>
    <w:rsid w:val="28B76FEA"/>
    <w:rsid w:val="28B92CA4"/>
    <w:rsid w:val="28BB6136"/>
    <w:rsid w:val="28C17522"/>
    <w:rsid w:val="28C600D0"/>
    <w:rsid w:val="28CC436E"/>
    <w:rsid w:val="28D33C9C"/>
    <w:rsid w:val="28D64766"/>
    <w:rsid w:val="28E354F7"/>
    <w:rsid w:val="28EB1894"/>
    <w:rsid w:val="28ED3933"/>
    <w:rsid w:val="28ED6CC1"/>
    <w:rsid w:val="28F50FC3"/>
    <w:rsid w:val="290B6697"/>
    <w:rsid w:val="290F16A6"/>
    <w:rsid w:val="291E3F1F"/>
    <w:rsid w:val="292145FD"/>
    <w:rsid w:val="29230445"/>
    <w:rsid w:val="292701B5"/>
    <w:rsid w:val="29292F5C"/>
    <w:rsid w:val="292D35C6"/>
    <w:rsid w:val="292F6A77"/>
    <w:rsid w:val="29326C9C"/>
    <w:rsid w:val="29391F52"/>
    <w:rsid w:val="29457FED"/>
    <w:rsid w:val="29492652"/>
    <w:rsid w:val="29561745"/>
    <w:rsid w:val="295F52F4"/>
    <w:rsid w:val="296E05EC"/>
    <w:rsid w:val="297022AB"/>
    <w:rsid w:val="2971247D"/>
    <w:rsid w:val="29792B88"/>
    <w:rsid w:val="297A4E6F"/>
    <w:rsid w:val="29824F67"/>
    <w:rsid w:val="29872DEA"/>
    <w:rsid w:val="2997301A"/>
    <w:rsid w:val="2998733E"/>
    <w:rsid w:val="299917CC"/>
    <w:rsid w:val="299C13C9"/>
    <w:rsid w:val="29A043A6"/>
    <w:rsid w:val="29A47AA8"/>
    <w:rsid w:val="29A87B12"/>
    <w:rsid w:val="29B120D1"/>
    <w:rsid w:val="29BB6961"/>
    <w:rsid w:val="29D52E30"/>
    <w:rsid w:val="29D6416C"/>
    <w:rsid w:val="29D91DA0"/>
    <w:rsid w:val="29DC23F5"/>
    <w:rsid w:val="29E55210"/>
    <w:rsid w:val="29E94F22"/>
    <w:rsid w:val="29EB214E"/>
    <w:rsid w:val="29F044B6"/>
    <w:rsid w:val="29F14852"/>
    <w:rsid w:val="29F444B1"/>
    <w:rsid w:val="29F960BA"/>
    <w:rsid w:val="29FC1B3A"/>
    <w:rsid w:val="2A0D079B"/>
    <w:rsid w:val="2A2665E5"/>
    <w:rsid w:val="2A300184"/>
    <w:rsid w:val="2A304A82"/>
    <w:rsid w:val="2A343590"/>
    <w:rsid w:val="2A366BE7"/>
    <w:rsid w:val="2A3879D4"/>
    <w:rsid w:val="2A396234"/>
    <w:rsid w:val="2A3F2B6B"/>
    <w:rsid w:val="2A4B2DC3"/>
    <w:rsid w:val="2A6C748E"/>
    <w:rsid w:val="2A6F5F9C"/>
    <w:rsid w:val="2A7228B2"/>
    <w:rsid w:val="2A7D42F0"/>
    <w:rsid w:val="2A7E7584"/>
    <w:rsid w:val="2A7E7B2D"/>
    <w:rsid w:val="2A8C22DA"/>
    <w:rsid w:val="2A944DC2"/>
    <w:rsid w:val="2A9A2C92"/>
    <w:rsid w:val="2A9E5B47"/>
    <w:rsid w:val="2AAF4E8E"/>
    <w:rsid w:val="2AB01988"/>
    <w:rsid w:val="2AB94B79"/>
    <w:rsid w:val="2ABD1BA5"/>
    <w:rsid w:val="2AC34E3B"/>
    <w:rsid w:val="2ACB3B4E"/>
    <w:rsid w:val="2ACF128B"/>
    <w:rsid w:val="2AD11EA9"/>
    <w:rsid w:val="2AD15F64"/>
    <w:rsid w:val="2AD25FBA"/>
    <w:rsid w:val="2ADF7F8F"/>
    <w:rsid w:val="2AE255BC"/>
    <w:rsid w:val="2AEF0DCE"/>
    <w:rsid w:val="2AFA696C"/>
    <w:rsid w:val="2AFC3AF5"/>
    <w:rsid w:val="2B000708"/>
    <w:rsid w:val="2B0022F4"/>
    <w:rsid w:val="2B0611EA"/>
    <w:rsid w:val="2B0B76FE"/>
    <w:rsid w:val="2B0F437F"/>
    <w:rsid w:val="2B197F85"/>
    <w:rsid w:val="2B1A62D1"/>
    <w:rsid w:val="2B1C6B78"/>
    <w:rsid w:val="2B204062"/>
    <w:rsid w:val="2B317125"/>
    <w:rsid w:val="2B327348"/>
    <w:rsid w:val="2B39696E"/>
    <w:rsid w:val="2B3C2587"/>
    <w:rsid w:val="2B4048DC"/>
    <w:rsid w:val="2B462AA8"/>
    <w:rsid w:val="2B57055D"/>
    <w:rsid w:val="2B57324E"/>
    <w:rsid w:val="2B5A144D"/>
    <w:rsid w:val="2B743891"/>
    <w:rsid w:val="2B797375"/>
    <w:rsid w:val="2B7C1382"/>
    <w:rsid w:val="2B831F18"/>
    <w:rsid w:val="2B857935"/>
    <w:rsid w:val="2B87072A"/>
    <w:rsid w:val="2B880BDA"/>
    <w:rsid w:val="2B912FCE"/>
    <w:rsid w:val="2B971D11"/>
    <w:rsid w:val="2B9B2C10"/>
    <w:rsid w:val="2B9C442F"/>
    <w:rsid w:val="2B9C51D6"/>
    <w:rsid w:val="2BA702C0"/>
    <w:rsid w:val="2BA96C91"/>
    <w:rsid w:val="2BAD5B1E"/>
    <w:rsid w:val="2BB1274D"/>
    <w:rsid w:val="2BB3391B"/>
    <w:rsid w:val="2BB37802"/>
    <w:rsid w:val="2BB871B7"/>
    <w:rsid w:val="2BC47919"/>
    <w:rsid w:val="2BC7733E"/>
    <w:rsid w:val="2BC8077D"/>
    <w:rsid w:val="2BCC10CC"/>
    <w:rsid w:val="2BD04190"/>
    <w:rsid w:val="2BD25537"/>
    <w:rsid w:val="2BE35732"/>
    <w:rsid w:val="2BF20DA4"/>
    <w:rsid w:val="2BFB4540"/>
    <w:rsid w:val="2BFB65F5"/>
    <w:rsid w:val="2BFB76A4"/>
    <w:rsid w:val="2BFE524A"/>
    <w:rsid w:val="2C076C5D"/>
    <w:rsid w:val="2C13377A"/>
    <w:rsid w:val="2C171E10"/>
    <w:rsid w:val="2C2A486D"/>
    <w:rsid w:val="2C2B3376"/>
    <w:rsid w:val="2C2C046C"/>
    <w:rsid w:val="2C2C2BD5"/>
    <w:rsid w:val="2C2C786F"/>
    <w:rsid w:val="2C2F549D"/>
    <w:rsid w:val="2C323470"/>
    <w:rsid w:val="2C3559BF"/>
    <w:rsid w:val="2C3B56CA"/>
    <w:rsid w:val="2C3E7CD1"/>
    <w:rsid w:val="2C457D28"/>
    <w:rsid w:val="2C495AC4"/>
    <w:rsid w:val="2C4D32F1"/>
    <w:rsid w:val="2C5B4454"/>
    <w:rsid w:val="2C5C3CA5"/>
    <w:rsid w:val="2C5C5E35"/>
    <w:rsid w:val="2C682E5E"/>
    <w:rsid w:val="2C7733CD"/>
    <w:rsid w:val="2C7827A3"/>
    <w:rsid w:val="2C7C4EA6"/>
    <w:rsid w:val="2C856009"/>
    <w:rsid w:val="2C863410"/>
    <w:rsid w:val="2C8B004F"/>
    <w:rsid w:val="2C8E5F53"/>
    <w:rsid w:val="2C8F70FF"/>
    <w:rsid w:val="2C91568B"/>
    <w:rsid w:val="2C953A73"/>
    <w:rsid w:val="2CA37D73"/>
    <w:rsid w:val="2CA55FD6"/>
    <w:rsid w:val="2CAC1BBA"/>
    <w:rsid w:val="2CAE0D5F"/>
    <w:rsid w:val="2CB20D54"/>
    <w:rsid w:val="2CC25A55"/>
    <w:rsid w:val="2CC41947"/>
    <w:rsid w:val="2CC448E3"/>
    <w:rsid w:val="2CCB0487"/>
    <w:rsid w:val="2CCB30EA"/>
    <w:rsid w:val="2CCC466A"/>
    <w:rsid w:val="2CCD6003"/>
    <w:rsid w:val="2CD04F0E"/>
    <w:rsid w:val="2CD36D47"/>
    <w:rsid w:val="2CDB7DA0"/>
    <w:rsid w:val="2CDF049E"/>
    <w:rsid w:val="2CE41D9B"/>
    <w:rsid w:val="2CE4461A"/>
    <w:rsid w:val="2CF20309"/>
    <w:rsid w:val="2CF5734C"/>
    <w:rsid w:val="2CFE5B26"/>
    <w:rsid w:val="2CFF544A"/>
    <w:rsid w:val="2D073FA4"/>
    <w:rsid w:val="2D1C756B"/>
    <w:rsid w:val="2D1D76EA"/>
    <w:rsid w:val="2D245EB1"/>
    <w:rsid w:val="2D276E27"/>
    <w:rsid w:val="2D282918"/>
    <w:rsid w:val="2D29243E"/>
    <w:rsid w:val="2D2E2C83"/>
    <w:rsid w:val="2D3C781C"/>
    <w:rsid w:val="2D3F0316"/>
    <w:rsid w:val="2D3F435B"/>
    <w:rsid w:val="2D434739"/>
    <w:rsid w:val="2D4E6BFA"/>
    <w:rsid w:val="2D5105B0"/>
    <w:rsid w:val="2D573947"/>
    <w:rsid w:val="2D6019F8"/>
    <w:rsid w:val="2D61141A"/>
    <w:rsid w:val="2D611DE3"/>
    <w:rsid w:val="2D645416"/>
    <w:rsid w:val="2D6A6978"/>
    <w:rsid w:val="2D7E7353"/>
    <w:rsid w:val="2D87497C"/>
    <w:rsid w:val="2D881B03"/>
    <w:rsid w:val="2D8D20E9"/>
    <w:rsid w:val="2D957660"/>
    <w:rsid w:val="2DA258C8"/>
    <w:rsid w:val="2DA25913"/>
    <w:rsid w:val="2DA70155"/>
    <w:rsid w:val="2DC071FC"/>
    <w:rsid w:val="2DCC642F"/>
    <w:rsid w:val="2DD13AB6"/>
    <w:rsid w:val="2DDA0B49"/>
    <w:rsid w:val="2DDB032D"/>
    <w:rsid w:val="2DDD70F2"/>
    <w:rsid w:val="2DDF1E00"/>
    <w:rsid w:val="2DE32066"/>
    <w:rsid w:val="2DE47B43"/>
    <w:rsid w:val="2DE85D78"/>
    <w:rsid w:val="2DEF5945"/>
    <w:rsid w:val="2DF53813"/>
    <w:rsid w:val="2DF625D9"/>
    <w:rsid w:val="2DF82C5A"/>
    <w:rsid w:val="2DFF657A"/>
    <w:rsid w:val="2E106210"/>
    <w:rsid w:val="2E14284A"/>
    <w:rsid w:val="2E1D00BC"/>
    <w:rsid w:val="2E225D9E"/>
    <w:rsid w:val="2E293FFE"/>
    <w:rsid w:val="2E2C167D"/>
    <w:rsid w:val="2E3D42AD"/>
    <w:rsid w:val="2E3D6F29"/>
    <w:rsid w:val="2E4B7451"/>
    <w:rsid w:val="2E4D65C1"/>
    <w:rsid w:val="2E573591"/>
    <w:rsid w:val="2E5806C5"/>
    <w:rsid w:val="2E5E17BC"/>
    <w:rsid w:val="2E603EA0"/>
    <w:rsid w:val="2E647240"/>
    <w:rsid w:val="2E656BF8"/>
    <w:rsid w:val="2E686D2A"/>
    <w:rsid w:val="2E6F51C0"/>
    <w:rsid w:val="2E732178"/>
    <w:rsid w:val="2E7D5899"/>
    <w:rsid w:val="2E8E794E"/>
    <w:rsid w:val="2E914492"/>
    <w:rsid w:val="2E963825"/>
    <w:rsid w:val="2E9F0BED"/>
    <w:rsid w:val="2EA53A48"/>
    <w:rsid w:val="2EA614E2"/>
    <w:rsid w:val="2EAD35AD"/>
    <w:rsid w:val="2EB023ED"/>
    <w:rsid w:val="2EB17749"/>
    <w:rsid w:val="2EB77AD0"/>
    <w:rsid w:val="2EB93945"/>
    <w:rsid w:val="2EBB3383"/>
    <w:rsid w:val="2EC23082"/>
    <w:rsid w:val="2EC721DD"/>
    <w:rsid w:val="2ED1273A"/>
    <w:rsid w:val="2ED82618"/>
    <w:rsid w:val="2EDC2599"/>
    <w:rsid w:val="2EE30F67"/>
    <w:rsid w:val="2EE56223"/>
    <w:rsid w:val="2EFF66A8"/>
    <w:rsid w:val="2F025222"/>
    <w:rsid w:val="2F094658"/>
    <w:rsid w:val="2F0C3BB4"/>
    <w:rsid w:val="2F156009"/>
    <w:rsid w:val="2F2E19BB"/>
    <w:rsid w:val="2F3810BA"/>
    <w:rsid w:val="2F49652E"/>
    <w:rsid w:val="2F5B478B"/>
    <w:rsid w:val="2F600DFE"/>
    <w:rsid w:val="2F6C2AD8"/>
    <w:rsid w:val="2F6C533C"/>
    <w:rsid w:val="2F756F56"/>
    <w:rsid w:val="2F8B0771"/>
    <w:rsid w:val="2F924890"/>
    <w:rsid w:val="2F9456D3"/>
    <w:rsid w:val="2F9620E0"/>
    <w:rsid w:val="2F9B3BA4"/>
    <w:rsid w:val="2F9E0D7D"/>
    <w:rsid w:val="2F9E2A73"/>
    <w:rsid w:val="2FA137A2"/>
    <w:rsid w:val="2FA6151E"/>
    <w:rsid w:val="2FA77AD5"/>
    <w:rsid w:val="2FAB6854"/>
    <w:rsid w:val="2FB270B8"/>
    <w:rsid w:val="2FB718DE"/>
    <w:rsid w:val="2FBD67BA"/>
    <w:rsid w:val="2FC70D12"/>
    <w:rsid w:val="2FCC7CB4"/>
    <w:rsid w:val="2FCF19F6"/>
    <w:rsid w:val="2FDE2969"/>
    <w:rsid w:val="2FE02EA0"/>
    <w:rsid w:val="2FE46353"/>
    <w:rsid w:val="2FE56B39"/>
    <w:rsid w:val="2FE819DE"/>
    <w:rsid w:val="2FFD0267"/>
    <w:rsid w:val="2FFE1602"/>
    <w:rsid w:val="30025241"/>
    <w:rsid w:val="300A3AAB"/>
    <w:rsid w:val="30121F50"/>
    <w:rsid w:val="3013485C"/>
    <w:rsid w:val="30185A05"/>
    <w:rsid w:val="301A1704"/>
    <w:rsid w:val="301F1A12"/>
    <w:rsid w:val="30227C28"/>
    <w:rsid w:val="302360EE"/>
    <w:rsid w:val="30243544"/>
    <w:rsid w:val="30266794"/>
    <w:rsid w:val="302A5B16"/>
    <w:rsid w:val="302E47B0"/>
    <w:rsid w:val="303B1E77"/>
    <w:rsid w:val="303D63F4"/>
    <w:rsid w:val="303E08C6"/>
    <w:rsid w:val="303F5B88"/>
    <w:rsid w:val="30622472"/>
    <w:rsid w:val="3063623E"/>
    <w:rsid w:val="306425B6"/>
    <w:rsid w:val="30665958"/>
    <w:rsid w:val="307E7AC6"/>
    <w:rsid w:val="30803B32"/>
    <w:rsid w:val="308A3D80"/>
    <w:rsid w:val="308E454F"/>
    <w:rsid w:val="3092679D"/>
    <w:rsid w:val="30982D72"/>
    <w:rsid w:val="3099050F"/>
    <w:rsid w:val="30997544"/>
    <w:rsid w:val="309B60AD"/>
    <w:rsid w:val="30A15202"/>
    <w:rsid w:val="30A55E8D"/>
    <w:rsid w:val="30AE074E"/>
    <w:rsid w:val="30B15ECE"/>
    <w:rsid w:val="30B40474"/>
    <w:rsid w:val="30B641B8"/>
    <w:rsid w:val="30B7161D"/>
    <w:rsid w:val="30B7494A"/>
    <w:rsid w:val="30BA1DC3"/>
    <w:rsid w:val="30BC6925"/>
    <w:rsid w:val="30C7226C"/>
    <w:rsid w:val="30CD0A19"/>
    <w:rsid w:val="30D04567"/>
    <w:rsid w:val="30D2686F"/>
    <w:rsid w:val="30D52A9B"/>
    <w:rsid w:val="30DD77CF"/>
    <w:rsid w:val="30DF0B46"/>
    <w:rsid w:val="30E83441"/>
    <w:rsid w:val="310C5B51"/>
    <w:rsid w:val="3114110B"/>
    <w:rsid w:val="311A6B57"/>
    <w:rsid w:val="311B416A"/>
    <w:rsid w:val="311F49A4"/>
    <w:rsid w:val="31230821"/>
    <w:rsid w:val="31240066"/>
    <w:rsid w:val="312A21AA"/>
    <w:rsid w:val="313112AC"/>
    <w:rsid w:val="31395A0E"/>
    <w:rsid w:val="313F3BC3"/>
    <w:rsid w:val="31426210"/>
    <w:rsid w:val="31461AB8"/>
    <w:rsid w:val="31517C59"/>
    <w:rsid w:val="31594169"/>
    <w:rsid w:val="31675824"/>
    <w:rsid w:val="316D2F59"/>
    <w:rsid w:val="31761209"/>
    <w:rsid w:val="31795311"/>
    <w:rsid w:val="317A5111"/>
    <w:rsid w:val="31836D1F"/>
    <w:rsid w:val="3184002C"/>
    <w:rsid w:val="31882B7F"/>
    <w:rsid w:val="31957888"/>
    <w:rsid w:val="31A10EA5"/>
    <w:rsid w:val="31A2772B"/>
    <w:rsid w:val="31A8255C"/>
    <w:rsid w:val="31BA061A"/>
    <w:rsid w:val="31D21386"/>
    <w:rsid w:val="31D72F24"/>
    <w:rsid w:val="31DD4190"/>
    <w:rsid w:val="31E06664"/>
    <w:rsid w:val="31E44D12"/>
    <w:rsid w:val="31E73865"/>
    <w:rsid w:val="31E9527E"/>
    <w:rsid w:val="31EE06CE"/>
    <w:rsid w:val="31FA2157"/>
    <w:rsid w:val="31FB4A20"/>
    <w:rsid w:val="31FE4B6D"/>
    <w:rsid w:val="320525A9"/>
    <w:rsid w:val="32057543"/>
    <w:rsid w:val="32077E48"/>
    <w:rsid w:val="320D5DB6"/>
    <w:rsid w:val="321A193D"/>
    <w:rsid w:val="321D4D48"/>
    <w:rsid w:val="32246A5E"/>
    <w:rsid w:val="3235608A"/>
    <w:rsid w:val="323B7351"/>
    <w:rsid w:val="323C6D0E"/>
    <w:rsid w:val="323E1453"/>
    <w:rsid w:val="323E6AE0"/>
    <w:rsid w:val="324921E0"/>
    <w:rsid w:val="324E6DF8"/>
    <w:rsid w:val="325628CD"/>
    <w:rsid w:val="325D227C"/>
    <w:rsid w:val="325F4068"/>
    <w:rsid w:val="32627FC8"/>
    <w:rsid w:val="32695BF7"/>
    <w:rsid w:val="32721228"/>
    <w:rsid w:val="327713AE"/>
    <w:rsid w:val="328F1066"/>
    <w:rsid w:val="329D7E14"/>
    <w:rsid w:val="32A2471C"/>
    <w:rsid w:val="32A74C8E"/>
    <w:rsid w:val="32AA3215"/>
    <w:rsid w:val="32B7443C"/>
    <w:rsid w:val="32BE2BAD"/>
    <w:rsid w:val="32C3229F"/>
    <w:rsid w:val="32CF3152"/>
    <w:rsid w:val="32D13EA8"/>
    <w:rsid w:val="32D408AD"/>
    <w:rsid w:val="32D429C3"/>
    <w:rsid w:val="32E31083"/>
    <w:rsid w:val="32ED4355"/>
    <w:rsid w:val="32FB489D"/>
    <w:rsid w:val="32FF1818"/>
    <w:rsid w:val="330121DA"/>
    <w:rsid w:val="3304362D"/>
    <w:rsid w:val="33050C02"/>
    <w:rsid w:val="33081450"/>
    <w:rsid w:val="3313530E"/>
    <w:rsid w:val="331A333D"/>
    <w:rsid w:val="331F003F"/>
    <w:rsid w:val="33204DF1"/>
    <w:rsid w:val="33214E85"/>
    <w:rsid w:val="332259AF"/>
    <w:rsid w:val="332742A8"/>
    <w:rsid w:val="332B7FAC"/>
    <w:rsid w:val="332E1A57"/>
    <w:rsid w:val="332F7655"/>
    <w:rsid w:val="33306105"/>
    <w:rsid w:val="33327337"/>
    <w:rsid w:val="33380A9C"/>
    <w:rsid w:val="33396F1A"/>
    <w:rsid w:val="334C29D1"/>
    <w:rsid w:val="334C6347"/>
    <w:rsid w:val="33700C31"/>
    <w:rsid w:val="33732602"/>
    <w:rsid w:val="33773CF9"/>
    <w:rsid w:val="337A5432"/>
    <w:rsid w:val="33816748"/>
    <w:rsid w:val="338B5C2B"/>
    <w:rsid w:val="338E442E"/>
    <w:rsid w:val="338F4D83"/>
    <w:rsid w:val="3393629D"/>
    <w:rsid w:val="33A6790B"/>
    <w:rsid w:val="33A76D1D"/>
    <w:rsid w:val="33B763E5"/>
    <w:rsid w:val="33BB5213"/>
    <w:rsid w:val="33C455CE"/>
    <w:rsid w:val="33C70BB6"/>
    <w:rsid w:val="33DD2557"/>
    <w:rsid w:val="33E0184B"/>
    <w:rsid w:val="33E461D9"/>
    <w:rsid w:val="33EB654C"/>
    <w:rsid w:val="33ED2445"/>
    <w:rsid w:val="33F21933"/>
    <w:rsid w:val="33F66324"/>
    <w:rsid w:val="33F9351A"/>
    <w:rsid w:val="33F96C19"/>
    <w:rsid w:val="33FB37E6"/>
    <w:rsid w:val="33FE4C5E"/>
    <w:rsid w:val="33FE7CCC"/>
    <w:rsid w:val="34005D8C"/>
    <w:rsid w:val="34050705"/>
    <w:rsid w:val="34107418"/>
    <w:rsid w:val="34184B9C"/>
    <w:rsid w:val="341C7714"/>
    <w:rsid w:val="341D274E"/>
    <w:rsid w:val="341E53AC"/>
    <w:rsid w:val="3430284A"/>
    <w:rsid w:val="34347325"/>
    <w:rsid w:val="34417261"/>
    <w:rsid w:val="34454601"/>
    <w:rsid w:val="34456026"/>
    <w:rsid w:val="345618DE"/>
    <w:rsid w:val="34563A27"/>
    <w:rsid w:val="34667853"/>
    <w:rsid w:val="34685E6C"/>
    <w:rsid w:val="346B2CC8"/>
    <w:rsid w:val="346F5AD4"/>
    <w:rsid w:val="34793CC5"/>
    <w:rsid w:val="347C7256"/>
    <w:rsid w:val="347F1A86"/>
    <w:rsid w:val="34800515"/>
    <w:rsid w:val="34805DA3"/>
    <w:rsid w:val="3484561C"/>
    <w:rsid w:val="34974D1E"/>
    <w:rsid w:val="349C6447"/>
    <w:rsid w:val="34A1228D"/>
    <w:rsid w:val="34A153B6"/>
    <w:rsid w:val="34AB4AD1"/>
    <w:rsid w:val="34AE0BC4"/>
    <w:rsid w:val="34AE48CB"/>
    <w:rsid w:val="34AF577A"/>
    <w:rsid w:val="34B06D32"/>
    <w:rsid w:val="34B2702D"/>
    <w:rsid w:val="34B60684"/>
    <w:rsid w:val="34BB0935"/>
    <w:rsid w:val="34BF69D2"/>
    <w:rsid w:val="34C20242"/>
    <w:rsid w:val="34C77CB1"/>
    <w:rsid w:val="34C86628"/>
    <w:rsid w:val="34CB3B5E"/>
    <w:rsid w:val="34CF0ED7"/>
    <w:rsid w:val="34CF5C16"/>
    <w:rsid w:val="34D1030D"/>
    <w:rsid w:val="34DF5F6F"/>
    <w:rsid w:val="34E81989"/>
    <w:rsid w:val="34EB3C89"/>
    <w:rsid w:val="34F10E05"/>
    <w:rsid w:val="34F40855"/>
    <w:rsid w:val="34F40CEA"/>
    <w:rsid w:val="34F52B51"/>
    <w:rsid w:val="34F91A28"/>
    <w:rsid w:val="34FE4BF4"/>
    <w:rsid w:val="350C1FA6"/>
    <w:rsid w:val="35114CAF"/>
    <w:rsid w:val="352D47BC"/>
    <w:rsid w:val="35335BCB"/>
    <w:rsid w:val="35340F97"/>
    <w:rsid w:val="353D200E"/>
    <w:rsid w:val="353F316E"/>
    <w:rsid w:val="35404780"/>
    <w:rsid w:val="3542568A"/>
    <w:rsid w:val="35465FC5"/>
    <w:rsid w:val="355A30F9"/>
    <w:rsid w:val="355B3A02"/>
    <w:rsid w:val="355F3E03"/>
    <w:rsid w:val="356412A7"/>
    <w:rsid w:val="35683B43"/>
    <w:rsid w:val="356D3D7D"/>
    <w:rsid w:val="35723E41"/>
    <w:rsid w:val="35770DB4"/>
    <w:rsid w:val="357F731A"/>
    <w:rsid w:val="35A86EBE"/>
    <w:rsid w:val="35A91F9F"/>
    <w:rsid w:val="35B80907"/>
    <w:rsid w:val="35D071A4"/>
    <w:rsid w:val="35E65109"/>
    <w:rsid w:val="35EA2F20"/>
    <w:rsid w:val="35EE70EE"/>
    <w:rsid w:val="35F00F86"/>
    <w:rsid w:val="35F8380E"/>
    <w:rsid w:val="361230A4"/>
    <w:rsid w:val="361626A8"/>
    <w:rsid w:val="361B77B6"/>
    <w:rsid w:val="36224108"/>
    <w:rsid w:val="362308F1"/>
    <w:rsid w:val="362D7196"/>
    <w:rsid w:val="36331E5D"/>
    <w:rsid w:val="36341520"/>
    <w:rsid w:val="36363096"/>
    <w:rsid w:val="36365DA6"/>
    <w:rsid w:val="363F6659"/>
    <w:rsid w:val="36451B2B"/>
    <w:rsid w:val="3649248B"/>
    <w:rsid w:val="364D7722"/>
    <w:rsid w:val="365524F5"/>
    <w:rsid w:val="366144BE"/>
    <w:rsid w:val="36661E68"/>
    <w:rsid w:val="367B5DD3"/>
    <w:rsid w:val="368760E3"/>
    <w:rsid w:val="36896026"/>
    <w:rsid w:val="36957418"/>
    <w:rsid w:val="369F4F03"/>
    <w:rsid w:val="36A05579"/>
    <w:rsid w:val="36AD48F7"/>
    <w:rsid w:val="36B36642"/>
    <w:rsid w:val="36BE5869"/>
    <w:rsid w:val="36D57471"/>
    <w:rsid w:val="36DB2D32"/>
    <w:rsid w:val="36DE5E6F"/>
    <w:rsid w:val="36DE77FF"/>
    <w:rsid w:val="36E12C83"/>
    <w:rsid w:val="36E54246"/>
    <w:rsid w:val="36E82A86"/>
    <w:rsid w:val="36EA370F"/>
    <w:rsid w:val="36EB266A"/>
    <w:rsid w:val="36EF0093"/>
    <w:rsid w:val="36EF6496"/>
    <w:rsid w:val="36F52914"/>
    <w:rsid w:val="37032A19"/>
    <w:rsid w:val="37094D38"/>
    <w:rsid w:val="370D59E0"/>
    <w:rsid w:val="370F63DF"/>
    <w:rsid w:val="370F6D79"/>
    <w:rsid w:val="371148D9"/>
    <w:rsid w:val="372657E2"/>
    <w:rsid w:val="372D064F"/>
    <w:rsid w:val="37321784"/>
    <w:rsid w:val="373B31EA"/>
    <w:rsid w:val="374012E9"/>
    <w:rsid w:val="374534D2"/>
    <w:rsid w:val="374E7653"/>
    <w:rsid w:val="375236F4"/>
    <w:rsid w:val="3752650C"/>
    <w:rsid w:val="3754277A"/>
    <w:rsid w:val="37543CFB"/>
    <w:rsid w:val="37550848"/>
    <w:rsid w:val="37574F2D"/>
    <w:rsid w:val="375E3C55"/>
    <w:rsid w:val="3760580C"/>
    <w:rsid w:val="37675326"/>
    <w:rsid w:val="3768205D"/>
    <w:rsid w:val="376A5D2E"/>
    <w:rsid w:val="376A5EFB"/>
    <w:rsid w:val="377673A8"/>
    <w:rsid w:val="377C1434"/>
    <w:rsid w:val="377F3FF2"/>
    <w:rsid w:val="3783485D"/>
    <w:rsid w:val="37885005"/>
    <w:rsid w:val="378F2852"/>
    <w:rsid w:val="37930B09"/>
    <w:rsid w:val="37954266"/>
    <w:rsid w:val="37981959"/>
    <w:rsid w:val="37A2598D"/>
    <w:rsid w:val="37AA57E1"/>
    <w:rsid w:val="37BC5C00"/>
    <w:rsid w:val="37C22E42"/>
    <w:rsid w:val="37C46D2B"/>
    <w:rsid w:val="37CA3E33"/>
    <w:rsid w:val="37CB5A55"/>
    <w:rsid w:val="37D76FF7"/>
    <w:rsid w:val="37E72A9F"/>
    <w:rsid w:val="37E73669"/>
    <w:rsid w:val="37E92A3F"/>
    <w:rsid w:val="37F1459E"/>
    <w:rsid w:val="37F14FA7"/>
    <w:rsid w:val="37F235DD"/>
    <w:rsid w:val="37F57DE3"/>
    <w:rsid w:val="37FB19F8"/>
    <w:rsid w:val="37FB7D2D"/>
    <w:rsid w:val="38017F4B"/>
    <w:rsid w:val="38053C8E"/>
    <w:rsid w:val="38177249"/>
    <w:rsid w:val="38185B5C"/>
    <w:rsid w:val="38221BF7"/>
    <w:rsid w:val="382F702F"/>
    <w:rsid w:val="38356E64"/>
    <w:rsid w:val="383A0C79"/>
    <w:rsid w:val="383F5370"/>
    <w:rsid w:val="38496CB0"/>
    <w:rsid w:val="384A7D15"/>
    <w:rsid w:val="384F5619"/>
    <w:rsid w:val="3850647B"/>
    <w:rsid w:val="38510D08"/>
    <w:rsid w:val="3854516A"/>
    <w:rsid w:val="38554EF6"/>
    <w:rsid w:val="38615334"/>
    <w:rsid w:val="38624FC2"/>
    <w:rsid w:val="386C071D"/>
    <w:rsid w:val="387406D9"/>
    <w:rsid w:val="38856826"/>
    <w:rsid w:val="388B19AD"/>
    <w:rsid w:val="388E46C0"/>
    <w:rsid w:val="389703EE"/>
    <w:rsid w:val="38997765"/>
    <w:rsid w:val="389A7D65"/>
    <w:rsid w:val="38A55696"/>
    <w:rsid w:val="38AF6483"/>
    <w:rsid w:val="38B07D42"/>
    <w:rsid w:val="38B32B36"/>
    <w:rsid w:val="38B91261"/>
    <w:rsid w:val="38BF05C6"/>
    <w:rsid w:val="38C02337"/>
    <w:rsid w:val="38C26AE5"/>
    <w:rsid w:val="38C3546F"/>
    <w:rsid w:val="38C42BC0"/>
    <w:rsid w:val="38CB3D03"/>
    <w:rsid w:val="38CE1465"/>
    <w:rsid w:val="38CF53F2"/>
    <w:rsid w:val="38DB1DBB"/>
    <w:rsid w:val="38E67E88"/>
    <w:rsid w:val="38E67F3C"/>
    <w:rsid w:val="38EC6159"/>
    <w:rsid w:val="38F24DAA"/>
    <w:rsid w:val="38F5717C"/>
    <w:rsid w:val="38FD7758"/>
    <w:rsid w:val="39091FC3"/>
    <w:rsid w:val="390D43EF"/>
    <w:rsid w:val="390E15C9"/>
    <w:rsid w:val="391175CF"/>
    <w:rsid w:val="39136250"/>
    <w:rsid w:val="39153127"/>
    <w:rsid w:val="39161B92"/>
    <w:rsid w:val="39204934"/>
    <w:rsid w:val="392102E2"/>
    <w:rsid w:val="3925049B"/>
    <w:rsid w:val="39330CD3"/>
    <w:rsid w:val="393E5D87"/>
    <w:rsid w:val="39410582"/>
    <w:rsid w:val="394964D3"/>
    <w:rsid w:val="3957356F"/>
    <w:rsid w:val="395D6FAF"/>
    <w:rsid w:val="39611068"/>
    <w:rsid w:val="396777C1"/>
    <w:rsid w:val="3974343C"/>
    <w:rsid w:val="39752D68"/>
    <w:rsid w:val="397A01BF"/>
    <w:rsid w:val="39897D35"/>
    <w:rsid w:val="398B09CF"/>
    <w:rsid w:val="398F4D71"/>
    <w:rsid w:val="3993034E"/>
    <w:rsid w:val="3998248E"/>
    <w:rsid w:val="399C4987"/>
    <w:rsid w:val="399E7CB7"/>
    <w:rsid w:val="39A2632E"/>
    <w:rsid w:val="39AE1D78"/>
    <w:rsid w:val="39B57B99"/>
    <w:rsid w:val="39BB2CC8"/>
    <w:rsid w:val="39C0462B"/>
    <w:rsid w:val="39C541A8"/>
    <w:rsid w:val="39C75AD3"/>
    <w:rsid w:val="39CA7C6B"/>
    <w:rsid w:val="39D23511"/>
    <w:rsid w:val="39D42118"/>
    <w:rsid w:val="39D84A7F"/>
    <w:rsid w:val="39DA0AF2"/>
    <w:rsid w:val="39DF67ED"/>
    <w:rsid w:val="39E40DE1"/>
    <w:rsid w:val="39E859D2"/>
    <w:rsid w:val="39EE03CF"/>
    <w:rsid w:val="39EE3A24"/>
    <w:rsid w:val="3A032023"/>
    <w:rsid w:val="3A0B0927"/>
    <w:rsid w:val="3A0D4633"/>
    <w:rsid w:val="3A0E208D"/>
    <w:rsid w:val="3A0E2608"/>
    <w:rsid w:val="3A1731BF"/>
    <w:rsid w:val="3A271E5A"/>
    <w:rsid w:val="3A332CF9"/>
    <w:rsid w:val="3A38702A"/>
    <w:rsid w:val="3A392148"/>
    <w:rsid w:val="3A3A5366"/>
    <w:rsid w:val="3A492ADD"/>
    <w:rsid w:val="3A492E5E"/>
    <w:rsid w:val="3A4E4EE0"/>
    <w:rsid w:val="3A520860"/>
    <w:rsid w:val="3A530425"/>
    <w:rsid w:val="3A5534FA"/>
    <w:rsid w:val="3A5703A9"/>
    <w:rsid w:val="3A582508"/>
    <w:rsid w:val="3A5920FB"/>
    <w:rsid w:val="3A5C328C"/>
    <w:rsid w:val="3A676EB0"/>
    <w:rsid w:val="3A71552F"/>
    <w:rsid w:val="3A765E6F"/>
    <w:rsid w:val="3A815CC9"/>
    <w:rsid w:val="3A842650"/>
    <w:rsid w:val="3A97475B"/>
    <w:rsid w:val="3A9C364E"/>
    <w:rsid w:val="3A9E5B25"/>
    <w:rsid w:val="3A9F1737"/>
    <w:rsid w:val="3AA01F33"/>
    <w:rsid w:val="3AA5456C"/>
    <w:rsid w:val="3AAD251D"/>
    <w:rsid w:val="3AAE0AE3"/>
    <w:rsid w:val="3AAE7C28"/>
    <w:rsid w:val="3AB330F2"/>
    <w:rsid w:val="3AC218B9"/>
    <w:rsid w:val="3AC85C71"/>
    <w:rsid w:val="3AD314C9"/>
    <w:rsid w:val="3AD74D28"/>
    <w:rsid w:val="3ADD28A3"/>
    <w:rsid w:val="3ADE12D5"/>
    <w:rsid w:val="3ADF1436"/>
    <w:rsid w:val="3AE44D48"/>
    <w:rsid w:val="3AEA3DF1"/>
    <w:rsid w:val="3AEA7B94"/>
    <w:rsid w:val="3AF454EE"/>
    <w:rsid w:val="3AF725D7"/>
    <w:rsid w:val="3AF941E5"/>
    <w:rsid w:val="3B0503CE"/>
    <w:rsid w:val="3B072071"/>
    <w:rsid w:val="3B0A157F"/>
    <w:rsid w:val="3B0B6510"/>
    <w:rsid w:val="3B131D77"/>
    <w:rsid w:val="3B143F0E"/>
    <w:rsid w:val="3B144CC3"/>
    <w:rsid w:val="3B1B6382"/>
    <w:rsid w:val="3B352B29"/>
    <w:rsid w:val="3B3D5E84"/>
    <w:rsid w:val="3B3E1D34"/>
    <w:rsid w:val="3B3F568A"/>
    <w:rsid w:val="3B40575C"/>
    <w:rsid w:val="3B417EA2"/>
    <w:rsid w:val="3B436909"/>
    <w:rsid w:val="3B4A2E28"/>
    <w:rsid w:val="3B5336B3"/>
    <w:rsid w:val="3B63678E"/>
    <w:rsid w:val="3B771F5B"/>
    <w:rsid w:val="3B842DF1"/>
    <w:rsid w:val="3B8A4538"/>
    <w:rsid w:val="3B8F1EB8"/>
    <w:rsid w:val="3BAA674A"/>
    <w:rsid w:val="3BB827C0"/>
    <w:rsid w:val="3BBB7A8A"/>
    <w:rsid w:val="3BC42E63"/>
    <w:rsid w:val="3BC51A1E"/>
    <w:rsid w:val="3BC64927"/>
    <w:rsid w:val="3BC7345B"/>
    <w:rsid w:val="3BC91666"/>
    <w:rsid w:val="3BCA2438"/>
    <w:rsid w:val="3BCE242D"/>
    <w:rsid w:val="3BD30024"/>
    <w:rsid w:val="3BD406F5"/>
    <w:rsid w:val="3BD903B7"/>
    <w:rsid w:val="3BDF32DF"/>
    <w:rsid w:val="3BDF5C9E"/>
    <w:rsid w:val="3BE406C1"/>
    <w:rsid w:val="3BF00265"/>
    <w:rsid w:val="3BF51C7A"/>
    <w:rsid w:val="3C002C7A"/>
    <w:rsid w:val="3C05192B"/>
    <w:rsid w:val="3C0B230F"/>
    <w:rsid w:val="3C0F0475"/>
    <w:rsid w:val="3C1C144C"/>
    <w:rsid w:val="3C24002A"/>
    <w:rsid w:val="3C257D11"/>
    <w:rsid w:val="3C2A29CB"/>
    <w:rsid w:val="3C2D58E4"/>
    <w:rsid w:val="3C384897"/>
    <w:rsid w:val="3C3B3401"/>
    <w:rsid w:val="3C3C32AA"/>
    <w:rsid w:val="3C3C7476"/>
    <w:rsid w:val="3C3E1FDA"/>
    <w:rsid w:val="3C473A8E"/>
    <w:rsid w:val="3C562685"/>
    <w:rsid w:val="3C596027"/>
    <w:rsid w:val="3C5E0FB6"/>
    <w:rsid w:val="3C610B7F"/>
    <w:rsid w:val="3C6A10F4"/>
    <w:rsid w:val="3C706538"/>
    <w:rsid w:val="3C706743"/>
    <w:rsid w:val="3C71344D"/>
    <w:rsid w:val="3C732DDB"/>
    <w:rsid w:val="3C7B2F84"/>
    <w:rsid w:val="3C7D2483"/>
    <w:rsid w:val="3C8A5729"/>
    <w:rsid w:val="3C8B2F19"/>
    <w:rsid w:val="3C8C09F0"/>
    <w:rsid w:val="3C8C4549"/>
    <w:rsid w:val="3C8D1643"/>
    <w:rsid w:val="3C8E6BE1"/>
    <w:rsid w:val="3CA820B5"/>
    <w:rsid w:val="3CB355CF"/>
    <w:rsid w:val="3CB912B9"/>
    <w:rsid w:val="3CBC1ED6"/>
    <w:rsid w:val="3CC7098B"/>
    <w:rsid w:val="3CC8363F"/>
    <w:rsid w:val="3CCE14AF"/>
    <w:rsid w:val="3CD26C1F"/>
    <w:rsid w:val="3CE23C96"/>
    <w:rsid w:val="3CF013DC"/>
    <w:rsid w:val="3CF156C3"/>
    <w:rsid w:val="3CF21009"/>
    <w:rsid w:val="3D024379"/>
    <w:rsid w:val="3D042423"/>
    <w:rsid w:val="3D055C12"/>
    <w:rsid w:val="3D072048"/>
    <w:rsid w:val="3D0B68E0"/>
    <w:rsid w:val="3D0D0182"/>
    <w:rsid w:val="3D110760"/>
    <w:rsid w:val="3D1114AD"/>
    <w:rsid w:val="3D121B72"/>
    <w:rsid w:val="3D20687E"/>
    <w:rsid w:val="3D346C9B"/>
    <w:rsid w:val="3D3F161C"/>
    <w:rsid w:val="3D487895"/>
    <w:rsid w:val="3D4F2264"/>
    <w:rsid w:val="3D4F4713"/>
    <w:rsid w:val="3D5052AF"/>
    <w:rsid w:val="3D51289D"/>
    <w:rsid w:val="3D530D22"/>
    <w:rsid w:val="3D5A545D"/>
    <w:rsid w:val="3D6756EB"/>
    <w:rsid w:val="3D677C94"/>
    <w:rsid w:val="3D6E0D98"/>
    <w:rsid w:val="3D703B71"/>
    <w:rsid w:val="3D7151B4"/>
    <w:rsid w:val="3D772E4F"/>
    <w:rsid w:val="3D785CA3"/>
    <w:rsid w:val="3D7D5A86"/>
    <w:rsid w:val="3D822488"/>
    <w:rsid w:val="3D823C73"/>
    <w:rsid w:val="3D862EC5"/>
    <w:rsid w:val="3D890DCF"/>
    <w:rsid w:val="3D950BD3"/>
    <w:rsid w:val="3D976DA1"/>
    <w:rsid w:val="3D9A1CEA"/>
    <w:rsid w:val="3D9C17BA"/>
    <w:rsid w:val="3D9D00F9"/>
    <w:rsid w:val="3D9F6D69"/>
    <w:rsid w:val="3DA213E7"/>
    <w:rsid w:val="3DA6317C"/>
    <w:rsid w:val="3DA901A8"/>
    <w:rsid w:val="3DB41FE3"/>
    <w:rsid w:val="3DB623B5"/>
    <w:rsid w:val="3DB95085"/>
    <w:rsid w:val="3DD04CDD"/>
    <w:rsid w:val="3DD73D32"/>
    <w:rsid w:val="3DD941B7"/>
    <w:rsid w:val="3DE20E53"/>
    <w:rsid w:val="3DE464C6"/>
    <w:rsid w:val="3DE70CB0"/>
    <w:rsid w:val="3DEB3F50"/>
    <w:rsid w:val="3DF52514"/>
    <w:rsid w:val="3E022261"/>
    <w:rsid w:val="3E0A7B67"/>
    <w:rsid w:val="3E0F1E57"/>
    <w:rsid w:val="3E0F6EB0"/>
    <w:rsid w:val="3E114D0C"/>
    <w:rsid w:val="3E1F5236"/>
    <w:rsid w:val="3E2003D9"/>
    <w:rsid w:val="3E261C65"/>
    <w:rsid w:val="3E2C0236"/>
    <w:rsid w:val="3E2E38D0"/>
    <w:rsid w:val="3E323125"/>
    <w:rsid w:val="3E3C453A"/>
    <w:rsid w:val="3E3E0C8C"/>
    <w:rsid w:val="3E4109AC"/>
    <w:rsid w:val="3E450472"/>
    <w:rsid w:val="3E5C5253"/>
    <w:rsid w:val="3E5D0FA2"/>
    <w:rsid w:val="3E60051C"/>
    <w:rsid w:val="3E7C1F15"/>
    <w:rsid w:val="3E7E0146"/>
    <w:rsid w:val="3E821E22"/>
    <w:rsid w:val="3E8977B4"/>
    <w:rsid w:val="3E8E63FD"/>
    <w:rsid w:val="3E9A2EBB"/>
    <w:rsid w:val="3EA20E87"/>
    <w:rsid w:val="3EB6678E"/>
    <w:rsid w:val="3EC2199E"/>
    <w:rsid w:val="3EC5423B"/>
    <w:rsid w:val="3ED22010"/>
    <w:rsid w:val="3ED86200"/>
    <w:rsid w:val="3ED953F2"/>
    <w:rsid w:val="3EDE4F3D"/>
    <w:rsid w:val="3EEA476D"/>
    <w:rsid w:val="3EEB734A"/>
    <w:rsid w:val="3EEB7CEF"/>
    <w:rsid w:val="3EEE4288"/>
    <w:rsid w:val="3EF32FAE"/>
    <w:rsid w:val="3EFF482E"/>
    <w:rsid w:val="3F077AC3"/>
    <w:rsid w:val="3F141FFC"/>
    <w:rsid w:val="3F163A7B"/>
    <w:rsid w:val="3F1839FB"/>
    <w:rsid w:val="3F21283D"/>
    <w:rsid w:val="3F264863"/>
    <w:rsid w:val="3F2C1225"/>
    <w:rsid w:val="3F2C6319"/>
    <w:rsid w:val="3F363D97"/>
    <w:rsid w:val="3F375D5D"/>
    <w:rsid w:val="3F430704"/>
    <w:rsid w:val="3F4E0407"/>
    <w:rsid w:val="3F506CCD"/>
    <w:rsid w:val="3F5B1670"/>
    <w:rsid w:val="3F63437D"/>
    <w:rsid w:val="3F657EFF"/>
    <w:rsid w:val="3F67381D"/>
    <w:rsid w:val="3F676BCA"/>
    <w:rsid w:val="3F695778"/>
    <w:rsid w:val="3F6C0040"/>
    <w:rsid w:val="3F6C5FA2"/>
    <w:rsid w:val="3F6E1F18"/>
    <w:rsid w:val="3F6F7D74"/>
    <w:rsid w:val="3F702387"/>
    <w:rsid w:val="3F7C345F"/>
    <w:rsid w:val="3F800EA0"/>
    <w:rsid w:val="3F955AE7"/>
    <w:rsid w:val="3F9911D6"/>
    <w:rsid w:val="3FA42BB1"/>
    <w:rsid w:val="3FA74E53"/>
    <w:rsid w:val="3FA77831"/>
    <w:rsid w:val="3FAE3DFA"/>
    <w:rsid w:val="3FBA53D2"/>
    <w:rsid w:val="3FBE69AF"/>
    <w:rsid w:val="3FC05789"/>
    <w:rsid w:val="3FC2797B"/>
    <w:rsid w:val="3FD537DD"/>
    <w:rsid w:val="3FD7792D"/>
    <w:rsid w:val="3FD822DE"/>
    <w:rsid w:val="3FE06E4D"/>
    <w:rsid w:val="3FE30BFF"/>
    <w:rsid w:val="3FE76C43"/>
    <w:rsid w:val="3FEB1428"/>
    <w:rsid w:val="3FEC4F13"/>
    <w:rsid w:val="3FED5823"/>
    <w:rsid w:val="3FF00A14"/>
    <w:rsid w:val="3FFA009F"/>
    <w:rsid w:val="3FFB07D1"/>
    <w:rsid w:val="40037811"/>
    <w:rsid w:val="40046092"/>
    <w:rsid w:val="402307F6"/>
    <w:rsid w:val="403045DC"/>
    <w:rsid w:val="40311D00"/>
    <w:rsid w:val="40332BC6"/>
    <w:rsid w:val="403434CB"/>
    <w:rsid w:val="40363D0D"/>
    <w:rsid w:val="403E1EB1"/>
    <w:rsid w:val="404A2CB2"/>
    <w:rsid w:val="404E3A71"/>
    <w:rsid w:val="40505B4B"/>
    <w:rsid w:val="40545FFE"/>
    <w:rsid w:val="405B648B"/>
    <w:rsid w:val="40644B43"/>
    <w:rsid w:val="406733A8"/>
    <w:rsid w:val="406D1B56"/>
    <w:rsid w:val="406F42CB"/>
    <w:rsid w:val="40701A8C"/>
    <w:rsid w:val="407D63A8"/>
    <w:rsid w:val="4084312D"/>
    <w:rsid w:val="408A682B"/>
    <w:rsid w:val="40921307"/>
    <w:rsid w:val="409830AE"/>
    <w:rsid w:val="40A876D7"/>
    <w:rsid w:val="40AE4D1E"/>
    <w:rsid w:val="40AF143F"/>
    <w:rsid w:val="40B015FF"/>
    <w:rsid w:val="40C52B32"/>
    <w:rsid w:val="40D46D05"/>
    <w:rsid w:val="40D477B8"/>
    <w:rsid w:val="40DC5B7C"/>
    <w:rsid w:val="40F0589A"/>
    <w:rsid w:val="40F67194"/>
    <w:rsid w:val="40FD410D"/>
    <w:rsid w:val="41027124"/>
    <w:rsid w:val="41027D33"/>
    <w:rsid w:val="41070E7A"/>
    <w:rsid w:val="410840AF"/>
    <w:rsid w:val="410C3C94"/>
    <w:rsid w:val="410C55BD"/>
    <w:rsid w:val="410E1F8A"/>
    <w:rsid w:val="41135618"/>
    <w:rsid w:val="4115375B"/>
    <w:rsid w:val="4116029C"/>
    <w:rsid w:val="41160C7E"/>
    <w:rsid w:val="41212317"/>
    <w:rsid w:val="41236BC9"/>
    <w:rsid w:val="41317226"/>
    <w:rsid w:val="413E616F"/>
    <w:rsid w:val="4147182F"/>
    <w:rsid w:val="414F509B"/>
    <w:rsid w:val="415377DD"/>
    <w:rsid w:val="415A2554"/>
    <w:rsid w:val="415D32D9"/>
    <w:rsid w:val="416C05F2"/>
    <w:rsid w:val="416C119D"/>
    <w:rsid w:val="416D4543"/>
    <w:rsid w:val="417477BB"/>
    <w:rsid w:val="417F1F85"/>
    <w:rsid w:val="41842677"/>
    <w:rsid w:val="41994E87"/>
    <w:rsid w:val="419B3C81"/>
    <w:rsid w:val="419C52BF"/>
    <w:rsid w:val="41A37B71"/>
    <w:rsid w:val="41A42A9A"/>
    <w:rsid w:val="41AA014B"/>
    <w:rsid w:val="41AB3F5C"/>
    <w:rsid w:val="41AC12E5"/>
    <w:rsid w:val="41B03EF2"/>
    <w:rsid w:val="41B12862"/>
    <w:rsid w:val="41B6128E"/>
    <w:rsid w:val="41C6512B"/>
    <w:rsid w:val="41CB512B"/>
    <w:rsid w:val="41CD279D"/>
    <w:rsid w:val="41D5643B"/>
    <w:rsid w:val="41E609D3"/>
    <w:rsid w:val="41EA7EA0"/>
    <w:rsid w:val="41EB170B"/>
    <w:rsid w:val="41F978B0"/>
    <w:rsid w:val="41FC65D3"/>
    <w:rsid w:val="4201117C"/>
    <w:rsid w:val="42064908"/>
    <w:rsid w:val="420978A9"/>
    <w:rsid w:val="421022D9"/>
    <w:rsid w:val="421160D7"/>
    <w:rsid w:val="42273570"/>
    <w:rsid w:val="422C1B6A"/>
    <w:rsid w:val="42301704"/>
    <w:rsid w:val="42357AE9"/>
    <w:rsid w:val="423B7891"/>
    <w:rsid w:val="423C2F5B"/>
    <w:rsid w:val="42440060"/>
    <w:rsid w:val="42496E56"/>
    <w:rsid w:val="424D5F67"/>
    <w:rsid w:val="42530C13"/>
    <w:rsid w:val="42546B47"/>
    <w:rsid w:val="42613B88"/>
    <w:rsid w:val="42666010"/>
    <w:rsid w:val="427A7361"/>
    <w:rsid w:val="427F7B5C"/>
    <w:rsid w:val="4287745E"/>
    <w:rsid w:val="428C32C8"/>
    <w:rsid w:val="428D4BDD"/>
    <w:rsid w:val="4292561B"/>
    <w:rsid w:val="42A60509"/>
    <w:rsid w:val="42B8535D"/>
    <w:rsid w:val="42BC6038"/>
    <w:rsid w:val="42CB66B9"/>
    <w:rsid w:val="42E442A0"/>
    <w:rsid w:val="42E55E32"/>
    <w:rsid w:val="42EA3D64"/>
    <w:rsid w:val="42EA5934"/>
    <w:rsid w:val="42F5262B"/>
    <w:rsid w:val="42F72693"/>
    <w:rsid w:val="42F93979"/>
    <w:rsid w:val="42FA7FC3"/>
    <w:rsid w:val="43002F6D"/>
    <w:rsid w:val="43073525"/>
    <w:rsid w:val="430D3075"/>
    <w:rsid w:val="43291CCE"/>
    <w:rsid w:val="432D6912"/>
    <w:rsid w:val="43304148"/>
    <w:rsid w:val="43317344"/>
    <w:rsid w:val="43320E90"/>
    <w:rsid w:val="433455A6"/>
    <w:rsid w:val="43421D33"/>
    <w:rsid w:val="43462EF8"/>
    <w:rsid w:val="434D44FC"/>
    <w:rsid w:val="435C382E"/>
    <w:rsid w:val="435C7DD3"/>
    <w:rsid w:val="435D0DF1"/>
    <w:rsid w:val="435E2475"/>
    <w:rsid w:val="43651D7A"/>
    <w:rsid w:val="43673342"/>
    <w:rsid w:val="43693C02"/>
    <w:rsid w:val="436C6F81"/>
    <w:rsid w:val="436D46F5"/>
    <w:rsid w:val="437C7E88"/>
    <w:rsid w:val="437E4365"/>
    <w:rsid w:val="43863A7E"/>
    <w:rsid w:val="438A77DD"/>
    <w:rsid w:val="43952370"/>
    <w:rsid w:val="439D5778"/>
    <w:rsid w:val="439F2E3A"/>
    <w:rsid w:val="43AA6FCF"/>
    <w:rsid w:val="43AB5289"/>
    <w:rsid w:val="43B00830"/>
    <w:rsid w:val="43B05D9E"/>
    <w:rsid w:val="43B755E6"/>
    <w:rsid w:val="43B9773D"/>
    <w:rsid w:val="43BD09C9"/>
    <w:rsid w:val="43C2754D"/>
    <w:rsid w:val="43C31A86"/>
    <w:rsid w:val="43D04A77"/>
    <w:rsid w:val="43E6461C"/>
    <w:rsid w:val="43E756C4"/>
    <w:rsid w:val="43EA2D6E"/>
    <w:rsid w:val="43EF3867"/>
    <w:rsid w:val="43FD34F0"/>
    <w:rsid w:val="43FF5D99"/>
    <w:rsid w:val="43FF66E2"/>
    <w:rsid w:val="44092212"/>
    <w:rsid w:val="44173F56"/>
    <w:rsid w:val="441F03AE"/>
    <w:rsid w:val="44266714"/>
    <w:rsid w:val="442A0F96"/>
    <w:rsid w:val="4432172A"/>
    <w:rsid w:val="44334F73"/>
    <w:rsid w:val="44350E20"/>
    <w:rsid w:val="4438677C"/>
    <w:rsid w:val="444400DB"/>
    <w:rsid w:val="444479B1"/>
    <w:rsid w:val="44506F2B"/>
    <w:rsid w:val="445175E8"/>
    <w:rsid w:val="445A4AF4"/>
    <w:rsid w:val="44642F11"/>
    <w:rsid w:val="44674A12"/>
    <w:rsid w:val="446762DA"/>
    <w:rsid w:val="44684782"/>
    <w:rsid w:val="44686EB8"/>
    <w:rsid w:val="447730D7"/>
    <w:rsid w:val="44783356"/>
    <w:rsid w:val="447834A9"/>
    <w:rsid w:val="447A2214"/>
    <w:rsid w:val="448446FE"/>
    <w:rsid w:val="448F5E95"/>
    <w:rsid w:val="44914ED1"/>
    <w:rsid w:val="44961F66"/>
    <w:rsid w:val="449A2B93"/>
    <w:rsid w:val="449A3246"/>
    <w:rsid w:val="449D0227"/>
    <w:rsid w:val="44A06F2C"/>
    <w:rsid w:val="44A52F51"/>
    <w:rsid w:val="44A53404"/>
    <w:rsid w:val="44A9416B"/>
    <w:rsid w:val="44AC223E"/>
    <w:rsid w:val="44B721AC"/>
    <w:rsid w:val="44BA02EC"/>
    <w:rsid w:val="44C474BC"/>
    <w:rsid w:val="44CC56EA"/>
    <w:rsid w:val="44D034E6"/>
    <w:rsid w:val="44D94820"/>
    <w:rsid w:val="44D96C04"/>
    <w:rsid w:val="44DA4055"/>
    <w:rsid w:val="44E2365D"/>
    <w:rsid w:val="44F4321B"/>
    <w:rsid w:val="44F52779"/>
    <w:rsid w:val="44F60650"/>
    <w:rsid w:val="44FB6758"/>
    <w:rsid w:val="44FF016D"/>
    <w:rsid w:val="44FF5F4F"/>
    <w:rsid w:val="45030754"/>
    <w:rsid w:val="45055BA1"/>
    <w:rsid w:val="45141E9D"/>
    <w:rsid w:val="451D091F"/>
    <w:rsid w:val="451D401A"/>
    <w:rsid w:val="45295147"/>
    <w:rsid w:val="452F2608"/>
    <w:rsid w:val="454100D8"/>
    <w:rsid w:val="45434E9A"/>
    <w:rsid w:val="45441EDC"/>
    <w:rsid w:val="454473BA"/>
    <w:rsid w:val="45631DF8"/>
    <w:rsid w:val="456352E0"/>
    <w:rsid w:val="456B4032"/>
    <w:rsid w:val="45734A78"/>
    <w:rsid w:val="457646C0"/>
    <w:rsid w:val="457B0AFD"/>
    <w:rsid w:val="457C175B"/>
    <w:rsid w:val="45870848"/>
    <w:rsid w:val="459015BD"/>
    <w:rsid w:val="459364A1"/>
    <w:rsid w:val="45951491"/>
    <w:rsid w:val="45956ACD"/>
    <w:rsid w:val="459B7739"/>
    <w:rsid w:val="45AF7F18"/>
    <w:rsid w:val="45B5790C"/>
    <w:rsid w:val="45B836E8"/>
    <w:rsid w:val="45BB7A15"/>
    <w:rsid w:val="45CA1314"/>
    <w:rsid w:val="45DB67D3"/>
    <w:rsid w:val="45F374BE"/>
    <w:rsid w:val="45F65434"/>
    <w:rsid w:val="460175C9"/>
    <w:rsid w:val="46050783"/>
    <w:rsid w:val="46050FD3"/>
    <w:rsid w:val="460D0030"/>
    <w:rsid w:val="461B2FF8"/>
    <w:rsid w:val="46250576"/>
    <w:rsid w:val="46255A75"/>
    <w:rsid w:val="46267EDB"/>
    <w:rsid w:val="462F7315"/>
    <w:rsid w:val="4631422B"/>
    <w:rsid w:val="4635253F"/>
    <w:rsid w:val="46421929"/>
    <w:rsid w:val="464459D0"/>
    <w:rsid w:val="46452EAE"/>
    <w:rsid w:val="46484FB7"/>
    <w:rsid w:val="464B0EAE"/>
    <w:rsid w:val="465271CC"/>
    <w:rsid w:val="46531622"/>
    <w:rsid w:val="46562739"/>
    <w:rsid w:val="46587853"/>
    <w:rsid w:val="466664B9"/>
    <w:rsid w:val="4669098F"/>
    <w:rsid w:val="466F0F6E"/>
    <w:rsid w:val="4672098C"/>
    <w:rsid w:val="46726D52"/>
    <w:rsid w:val="467E3541"/>
    <w:rsid w:val="46807F7A"/>
    <w:rsid w:val="468857EA"/>
    <w:rsid w:val="468F112A"/>
    <w:rsid w:val="46910D17"/>
    <w:rsid w:val="469E7AC6"/>
    <w:rsid w:val="46A47F8B"/>
    <w:rsid w:val="46AE696D"/>
    <w:rsid w:val="46AF5DD0"/>
    <w:rsid w:val="46B80FDC"/>
    <w:rsid w:val="46CA455E"/>
    <w:rsid w:val="46CF1C22"/>
    <w:rsid w:val="46D51D3F"/>
    <w:rsid w:val="46D92BF6"/>
    <w:rsid w:val="46DB2A31"/>
    <w:rsid w:val="46DE1F03"/>
    <w:rsid w:val="46EA65BE"/>
    <w:rsid w:val="46F06095"/>
    <w:rsid w:val="46F3688F"/>
    <w:rsid w:val="46F80B7F"/>
    <w:rsid w:val="46FA023B"/>
    <w:rsid w:val="46FE478D"/>
    <w:rsid w:val="470A52FC"/>
    <w:rsid w:val="470C0B8C"/>
    <w:rsid w:val="471619FF"/>
    <w:rsid w:val="471A20EE"/>
    <w:rsid w:val="47201B8D"/>
    <w:rsid w:val="4721543C"/>
    <w:rsid w:val="4723246F"/>
    <w:rsid w:val="472672F6"/>
    <w:rsid w:val="472773EC"/>
    <w:rsid w:val="472E0B19"/>
    <w:rsid w:val="47324F8A"/>
    <w:rsid w:val="47387475"/>
    <w:rsid w:val="473B6E38"/>
    <w:rsid w:val="474655C1"/>
    <w:rsid w:val="475544CB"/>
    <w:rsid w:val="475E3F98"/>
    <w:rsid w:val="4762104B"/>
    <w:rsid w:val="4773682B"/>
    <w:rsid w:val="4774227E"/>
    <w:rsid w:val="477608B5"/>
    <w:rsid w:val="478E5DA0"/>
    <w:rsid w:val="478F12F7"/>
    <w:rsid w:val="47902409"/>
    <w:rsid w:val="47997B4B"/>
    <w:rsid w:val="479A1D3F"/>
    <w:rsid w:val="479C7548"/>
    <w:rsid w:val="47A63C9B"/>
    <w:rsid w:val="47AE5CF7"/>
    <w:rsid w:val="47B77514"/>
    <w:rsid w:val="47B83D9B"/>
    <w:rsid w:val="47B91329"/>
    <w:rsid w:val="47B96CCE"/>
    <w:rsid w:val="47BA158F"/>
    <w:rsid w:val="47BF4033"/>
    <w:rsid w:val="47C239F1"/>
    <w:rsid w:val="47C53F0C"/>
    <w:rsid w:val="47C623F5"/>
    <w:rsid w:val="47D00ED5"/>
    <w:rsid w:val="47D74EBF"/>
    <w:rsid w:val="47D82F4C"/>
    <w:rsid w:val="47D97634"/>
    <w:rsid w:val="47DC6DC1"/>
    <w:rsid w:val="47DF5975"/>
    <w:rsid w:val="47E010AE"/>
    <w:rsid w:val="47E34E61"/>
    <w:rsid w:val="47EA64B8"/>
    <w:rsid w:val="47EF11C2"/>
    <w:rsid w:val="47F2327C"/>
    <w:rsid w:val="47F60690"/>
    <w:rsid w:val="47FA5621"/>
    <w:rsid w:val="48102374"/>
    <w:rsid w:val="482B3DE5"/>
    <w:rsid w:val="482E156C"/>
    <w:rsid w:val="483264E1"/>
    <w:rsid w:val="48434036"/>
    <w:rsid w:val="484776A0"/>
    <w:rsid w:val="484818E5"/>
    <w:rsid w:val="484E266E"/>
    <w:rsid w:val="484E3184"/>
    <w:rsid w:val="485025C3"/>
    <w:rsid w:val="485212B4"/>
    <w:rsid w:val="48552E8B"/>
    <w:rsid w:val="48567AA6"/>
    <w:rsid w:val="48597467"/>
    <w:rsid w:val="48752DC7"/>
    <w:rsid w:val="4878494C"/>
    <w:rsid w:val="487D23AF"/>
    <w:rsid w:val="487E5F02"/>
    <w:rsid w:val="488B2925"/>
    <w:rsid w:val="489073D7"/>
    <w:rsid w:val="48945538"/>
    <w:rsid w:val="489815DE"/>
    <w:rsid w:val="489D7479"/>
    <w:rsid w:val="489E7C8E"/>
    <w:rsid w:val="48A70558"/>
    <w:rsid w:val="48B16EF2"/>
    <w:rsid w:val="48B55015"/>
    <w:rsid w:val="48B64BC4"/>
    <w:rsid w:val="48C13E0B"/>
    <w:rsid w:val="48C34373"/>
    <w:rsid w:val="48CB630E"/>
    <w:rsid w:val="48D15D80"/>
    <w:rsid w:val="48DA20DE"/>
    <w:rsid w:val="48DD435D"/>
    <w:rsid w:val="48E10A93"/>
    <w:rsid w:val="48E36F80"/>
    <w:rsid w:val="48E617C6"/>
    <w:rsid w:val="48E94062"/>
    <w:rsid w:val="48EF237B"/>
    <w:rsid w:val="48F00928"/>
    <w:rsid w:val="48F11282"/>
    <w:rsid w:val="48F1749F"/>
    <w:rsid w:val="48FC3C8F"/>
    <w:rsid w:val="48FF4E0B"/>
    <w:rsid w:val="49011A64"/>
    <w:rsid w:val="491058C5"/>
    <w:rsid w:val="4913074F"/>
    <w:rsid w:val="49136376"/>
    <w:rsid w:val="49332934"/>
    <w:rsid w:val="494152B0"/>
    <w:rsid w:val="494555EC"/>
    <w:rsid w:val="49515DDB"/>
    <w:rsid w:val="4955613F"/>
    <w:rsid w:val="49585C74"/>
    <w:rsid w:val="495B3ABD"/>
    <w:rsid w:val="49610DC9"/>
    <w:rsid w:val="49614734"/>
    <w:rsid w:val="4966343B"/>
    <w:rsid w:val="496C2B99"/>
    <w:rsid w:val="496E2505"/>
    <w:rsid w:val="49761A07"/>
    <w:rsid w:val="49770B4F"/>
    <w:rsid w:val="4977105F"/>
    <w:rsid w:val="4978145F"/>
    <w:rsid w:val="497C37AC"/>
    <w:rsid w:val="49923FBE"/>
    <w:rsid w:val="49A12409"/>
    <w:rsid w:val="49B94542"/>
    <w:rsid w:val="49BA7C94"/>
    <w:rsid w:val="49BD4AD8"/>
    <w:rsid w:val="49BE775B"/>
    <w:rsid w:val="49C10C38"/>
    <w:rsid w:val="49C90443"/>
    <w:rsid w:val="49D113DE"/>
    <w:rsid w:val="49D264A7"/>
    <w:rsid w:val="49DC370B"/>
    <w:rsid w:val="49DE4BDA"/>
    <w:rsid w:val="49DF3BD4"/>
    <w:rsid w:val="49E61F10"/>
    <w:rsid w:val="49FB2AF1"/>
    <w:rsid w:val="4A020795"/>
    <w:rsid w:val="4A034EDD"/>
    <w:rsid w:val="4A075754"/>
    <w:rsid w:val="4A0A2099"/>
    <w:rsid w:val="4A0F0D55"/>
    <w:rsid w:val="4A147539"/>
    <w:rsid w:val="4A1730D0"/>
    <w:rsid w:val="4A201A13"/>
    <w:rsid w:val="4A231F73"/>
    <w:rsid w:val="4A352D99"/>
    <w:rsid w:val="4A395254"/>
    <w:rsid w:val="4A414731"/>
    <w:rsid w:val="4A456F1C"/>
    <w:rsid w:val="4A5764A8"/>
    <w:rsid w:val="4A5F0B11"/>
    <w:rsid w:val="4A6F7C4A"/>
    <w:rsid w:val="4A73153A"/>
    <w:rsid w:val="4A771025"/>
    <w:rsid w:val="4A824564"/>
    <w:rsid w:val="4A8529C1"/>
    <w:rsid w:val="4A957C5E"/>
    <w:rsid w:val="4AA550DB"/>
    <w:rsid w:val="4ABD3A27"/>
    <w:rsid w:val="4AC4604F"/>
    <w:rsid w:val="4AD1302E"/>
    <w:rsid w:val="4AD70AF9"/>
    <w:rsid w:val="4ADA2678"/>
    <w:rsid w:val="4AE901C5"/>
    <w:rsid w:val="4AF8480F"/>
    <w:rsid w:val="4AFB5D5E"/>
    <w:rsid w:val="4AFD4598"/>
    <w:rsid w:val="4B110B23"/>
    <w:rsid w:val="4B117EA4"/>
    <w:rsid w:val="4B1A48D0"/>
    <w:rsid w:val="4B1B14FB"/>
    <w:rsid w:val="4B1C5089"/>
    <w:rsid w:val="4B21776F"/>
    <w:rsid w:val="4B22045B"/>
    <w:rsid w:val="4B27072D"/>
    <w:rsid w:val="4B291F6C"/>
    <w:rsid w:val="4B3573BA"/>
    <w:rsid w:val="4B3D4268"/>
    <w:rsid w:val="4B3D7EBC"/>
    <w:rsid w:val="4B3E0B23"/>
    <w:rsid w:val="4B4515B9"/>
    <w:rsid w:val="4B471200"/>
    <w:rsid w:val="4B4D1170"/>
    <w:rsid w:val="4B532693"/>
    <w:rsid w:val="4B5E0B87"/>
    <w:rsid w:val="4B6067C0"/>
    <w:rsid w:val="4B72340B"/>
    <w:rsid w:val="4B7E0D8D"/>
    <w:rsid w:val="4B816AF0"/>
    <w:rsid w:val="4B85334C"/>
    <w:rsid w:val="4B873517"/>
    <w:rsid w:val="4B8A07EE"/>
    <w:rsid w:val="4B9451A8"/>
    <w:rsid w:val="4B962A35"/>
    <w:rsid w:val="4BA24769"/>
    <w:rsid w:val="4BAF3613"/>
    <w:rsid w:val="4BB54D88"/>
    <w:rsid w:val="4BB760CE"/>
    <w:rsid w:val="4BC22889"/>
    <w:rsid w:val="4BCF615D"/>
    <w:rsid w:val="4BD02C55"/>
    <w:rsid w:val="4BD82DF4"/>
    <w:rsid w:val="4BDF4C20"/>
    <w:rsid w:val="4BE9776A"/>
    <w:rsid w:val="4BEE00F7"/>
    <w:rsid w:val="4BEE1B38"/>
    <w:rsid w:val="4BF01536"/>
    <w:rsid w:val="4BFB47C8"/>
    <w:rsid w:val="4C122D27"/>
    <w:rsid w:val="4C162B10"/>
    <w:rsid w:val="4C1762B7"/>
    <w:rsid w:val="4C1C2DE8"/>
    <w:rsid w:val="4C1F5344"/>
    <w:rsid w:val="4C2F1BB6"/>
    <w:rsid w:val="4C390B61"/>
    <w:rsid w:val="4C4D56C6"/>
    <w:rsid w:val="4C51422D"/>
    <w:rsid w:val="4C5729F5"/>
    <w:rsid w:val="4C5A0759"/>
    <w:rsid w:val="4C675B0D"/>
    <w:rsid w:val="4C6C4D86"/>
    <w:rsid w:val="4C6E4987"/>
    <w:rsid w:val="4C744817"/>
    <w:rsid w:val="4C7B4A18"/>
    <w:rsid w:val="4C8A0079"/>
    <w:rsid w:val="4C8C5F8B"/>
    <w:rsid w:val="4C913CBA"/>
    <w:rsid w:val="4C916DB5"/>
    <w:rsid w:val="4C960B95"/>
    <w:rsid w:val="4C9F3EA7"/>
    <w:rsid w:val="4CA0102B"/>
    <w:rsid w:val="4CD06289"/>
    <w:rsid w:val="4CDE743E"/>
    <w:rsid w:val="4CE456B2"/>
    <w:rsid w:val="4CE93C03"/>
    <w:rsid w:val="4CED5CB5"/>
    <w:rsid w:val="4CFA35F3"/>
    <w:rsid w:val="4CFE6852"/>
    <w:rsid w:val="4D006B00"/>
    <w:rsid w:val="4D025EE2"/>
    <w:rsid w:val="4D0923F6"/>
    <w:rsid w:val="4D0B318B"/>
    <w:rsid w:val="4D0C576B"/>
    <w:rsid w:val="4D0D6891"/>
    <w:rsid w:val="4D1072B6"/>
    <w:rsid w:val="4D1139C9"/>
    <w:rsid w:val="4D17568F"/>
    <w:rsid w:val="4D1B403C"/>
    <w:rsid w:val="4D1C33ED"/>
    <w:rsid w:val="4D1F6001"/>
    <w:rsid w:val="4D207770"/>
    <w:rsid w:val="4D293BE0"/>
    <w:rsid w:val="4D2C78DA"/>
    <w:rsid w:val="4D3D5433"/>
    <w:rsid w:val="4D422E8D"/>
    <w:rsid w:val="4D47264A"/>
    <w:rsid w:val="4D5A6FE0"/>
    <w:rsid w:val="4D607950"/>
    <w:rsid w:val="4D627232"/>
    <w:rsid w:val="4D652E05"/>
    <w:rsid w:val="4D6C5B10"/>
    <w:rsid w:val="4D775918"/>
    <w:rsid w:val="4D7C5E0E"/>
    <w:rsid w:val="4D960591"/>
    <w:rsid w:val="4D9933AF"/>
    <w:rsid w:val="4D9C0AF8"/>
    <w:rsid w:val="4DA169F2"/>
    <w:rsid w:val="4DA51305"/>
    <w:rsid w:val="4DA70C8A"/>
    <w:rsid w:val="4DAC0217"/>
    <w:rsid w:val="4DB0788A"/>
    <w:rsid w:val="4DB422E3"/>
    <w:rsid w:val="4DB62A8C"/>
    <w:rsid w:val="4DB852A8"/>
    <w:rsid w:val="4DBF737A"/>
    <w:rsid w:val="4DC15F14"/>
    <w:rsid w:val="4DC83D45"/>
    <w:rsid w:val="4DD27048"/>
    <w:rsid w:val="4DD7523E"/>
    <w:rsid w:val="4DE04D4B"/>
    <w:rsid w:val="4DE24CF3"/>
    <w:rsid w:val="4DE64479"/>
    <w:rsid w:val="4DE73E5F"/>
    <w:rsid w:val="4DE85FE9"/>
    <w:rsid w:val="4DF11DBB"/>
    <w:rsid w:val="4E155F92"/>
    <w:rsid w:val="4E185DF1"/>
    <w:rsid w:val="4E1F70CB"/>
    <w:rsid w:val="4E273923"/>
    <w:rsid w:val="4E3067D3"/>
    <w:rsid w:val="4E383332"/>
    <w:rsid w:val="4E477E86"/>
    <w:rsid w:val="4E4824B6"/>
    <w:rsid w:val="4E4A3612"/>
    <w:rsid w:val="4E4D00D6"/>
    <w:rsid w:val="4E504DF2"/>
    <w:rsid w:val="4E553FE5"/>
    <w:rsid w:val="4E5C22A4"/>
    <w:rsid w:val="4E5D3E6F"/>
    <w:rsid w:val="4E6424BC"/>
    <w:rsid w:val="4E661998"/>
    <w:rsid w:val="4E683358"/>
    <w:rsid w:val="4E6B2E4F"/>
    <w:rsid w:val="4E6D51CE"/>
    <w:rsid w:val="4E811D71"/>
    <w:rsid w:val="4E8276C3"/>
    <w:rsid w:val="4E8473D4"/>
    <w:rsid w:val="4E8717B9"/>
    <w:rsid w:val="4E9533FF"/>
    <w:rsid w:val="4E960EDB"/>
    <w:rsid w:val="4E964EBA"/>
    <w:rsid w:val="4E98597B"/>
    <w:rsid w:val="4E9B432D"/>
    <w:rsid w:val="4E9D3398"/>
    <w:rsid w:val="4E9D43BD"/>
    <w:rsid w:val="4EA14868"/>
    <w:rsid w:val="4EB85400"/>
    <w:rsid w:val="4EBC6BCC"/>
    <w:rsid w:val="4EC01B77"/>
    <w:rsid w:val="4EC14E3F"/>
    <w:rsid w:val="4EC4379F"/>
    <w:rsid w:val="4EC466E0"/>
    <w:rsid w:val="4EDE3803"/>
    <w:rsid w:val="4EDF5355"/>
    <w:rsid w:val="4EE353D7"/>
    <w:rsid w:val="4EE35B9A"/>
    <w:rsid w:val="4EE478F9"/>
    <w:rsid w:val="4EF568A7"/>
    <w:rsid w:val="4EF73300"/>
    <w:rsid w:val="4EF910CD"/>
    <w:rsid w:val="4EFB5B2F"/>
    <w:rsid w:val="4EFB5BBF"/>
    <w:rsid w:val="4F007FAB"/>
    <w:rsid w:val="4F0C196B"/>
    <w:rsid w:val="4F0D324A"/>
    <w:rsid w:val="4F0F155E"/>
    <w:rsid w:val="4F101913"/>
    <w:rsid w:val="4F106B7A"/>
    <w:rsid w:val="4F144655"/>
    <w:rsid w:val="4F1A2A99"/>
    <w:rsid w:val="4F251427"/>
    <w:rsid w:val="4F2933A5"/>
    <w:rsid w:val="4F2C20B3"/>
    <w:rsid w:val="4F2D08AA"/>
    <w:rsid w:val="4F2D66E0"/>
    <w:rsid w:val="4F2E6EF7"/>
    <w:rsid w:val="4F4515F4"/>
    <w:rsid w:val="4F5B627F"/>
    <w:rsid w:val="4F5E15E3"/>
    <w:rsid w:val="4F612B3C"/>
    <w:rsid w:val="4F6D4B42"/>
    <w:rsid w:val="4F6F0EE8"/>
    <w:rsid w:val="4F7E615D"/>
    <w:rsid w:val="4F7F0FA1"/>
    <w:rsid w:val="4F7F40FE"/>
    <w:rsid w:val="4F863967"/>
    <w:rsid w:val="4F8A5CF8"/>
    <w:rsid w:val="4F8C6F2A"/>
    <w:rsid w:val="4F8F7B21"/>
    <w:rsid w:val="4F99479F"/>
    <w:rsid w:val="4FA26012"/>
    <w:rsid w:val="4FA37883"/>
    <w:rsid w:val="4FB175B4"/>
    <w:rsid w:val="4FB716BB"/>
    <w:rsid w:val="4FBF65CE"/>
    <w:rsid w:val="4FC07FE3"/>
    <w:rsid w:val="4FC761E9"/>
    <w:rsid w:val="4FD278A4"/>
    <w:rsid w:val="4FEB55E4"/>
    <w:rsid w:val="4FFA3D99"/>
    <w:rsid w:val="4FFE4DE2"/>
    <w:rsid w:val="50034EBF"/>
    <w:rsid w:val="5007148F"/>
    <w:rsid w:val="500D4D1E"/>
    <w:rsid w:val="501405A8"/>
    <w:rsid w:val="50154925"/>
    <w:rsid w:val="501E72C9"/>
    <w:rsid w:val="50233F5A"/>
    <w:rsid w:val="5028524C"/>
    <w:rsid w:val="503444FE"/>
    <w:rsid w:val="50353582"/>
    <w:rsid w:val="503D6772"/>
    <w:rsid w:val="503F4A9F"/>
    <w:rsid w:val="504C3C83"/>
    <w:rsid w:val="505006DF"/>
    <w:rsid w:val="50501A45"/>
    <w:rsid w:val="50600E6E"/>
    <w:rsid w:val="5069775C"/>
    <w:rsid w:val="506C210E"/>
    <w:rsid w:val="506C3081"/>
    <w:rsid w:val="506C41CD"/>
    <w:rsid w:val="506D6A7A"/>
    <w:rsid w:val="506F6F58"/>
    <w:rsid w:val="5072688D"/>
    <w:rsid w:val="50771094"/>
    <w:rsid w:val="507B581F"/>
    <w:rsid w:val="507C1868"/>
    <w:rsid w:val="508308F0"/>
    <w:rsid w:val="50866038"/>
    <w:rsid w:val="508A0A0E"/>
    <w:rsid w:val="509C2DD0"/>
    <w:rsid w:val="509D1532"/>
    <w:rsid w:val="509F7B23"/>
    <w:rsid w:val="50A548A1"/>
    <w:rsid w:val="50A61DF5"/>
    <w:rsid w:val="50B0590F"/>
    <w:rsid w:val="50B50B78"/>
    <w:rsid w:val="50B7065D"/>
    <w:rsid w:val="50BF7C57"/>
    <w:rsid w:val="50C018A8"/>
    <w:rsid w:val="50D35F77"/>
    <w:rsid w:val="50D86D39"/>
    <w:rsid w:val="50DB02B3"/>
    <w:rsid w:val="50E527C1"/>
    <w:rsid w:val="50F213D8"/>
    <w:rsid w:val="50F25D5B"/>
    <w:rsid w:val="50F432AA"/>
    <w:rsid w:val="50F55A40"/>
    <w:rsid w:val="51057EB7"/>
    <w:rsid w:val="51071DD8"/>
    <w:rsid w:val="510A2E0D"/>
    <w:rsid w:val="510A629A"/>
    <w:rsid w:val="510C6DE0"/>
    <w:rsid w:val="51101AC9"/>
    <w:rsid w:val="51154098"/>
    <w:rsid w:val="51171A79"/>
    <w:rsid w:val="511A2AFC"/>
    <w:rsid w:val="511E2016"/>
    <w:rsid w:val="51221D61"/>
    <w:rsid w:val="5123119F"/>
    <w:rsid w:val="5123676F"/>
    <w:rsid w:val="51283DFD"/>
    <w:rsid w:val="512B6449"/>
    <w:rsid w:val="512C4EB9"/>
    <w:rsid w:val="512E5C4E"/>
    <w:rsid w:val="513060BD"/>
    <w:rsid w:val="513252D7"/>
    <w:rsid w:val="51380FD8"/>
    <w:rsid w:val="51394263"/>
    <w:rsid w:val="513968A8"/>
    <w:rsid w:val="51397AE5"/>
    <w:rsid w:val="513A13CC"/>
    <w:rsid w:val="513A23D1"/>
    <w:rsid w:val="514C5269"/>
    <w:rsid w:val="5155099C"/>
    <w:rsid w:val="515C654D"/>
    <w:rsid w:val="51600E02"/>
    <w:rsid w:val="51647D98"/>
    <w:rsid w:val="516A1B35"/>
    <w:rsid w:val="516D5E81"/>
    <w:rsid w:val="5175137E"/>
    <w:rsid w:val="51770895"/>
    <w:rsid w:val="517768DC"/>
    <w:rsid w:val="518308D5"/>
    <w:rsid w:val="51863EDE"/>
    <w:rsid w:val="518B48D4"/>
    <w:rsid w:val="519A5F67"/>
    <w:rsid w:val="519C003D"/>
    <w:rsid w:val="51AD660B"/>
    <w:rsid w:val="51B02D65"/>
    <w:rsid w:val="51B11134"/>
    <w:rsid w:val="51C521AB"/>
    <w:rsid w:val="51C71679"/>
    <w:rsid w:val="51C7553A"/>
    <w:rsid w:val="51CA47B2"/>
    <w:rsid w:val="51CE6328"/>
    <w:rsid w:val="51CF309A"/>
    <w:rsid w:val="51DA4591"/>
    <w:rsid w:val="51DA6866"/>
    <w:rsid w:val="51E70DA9"/>
    <w:rsid w:val="51EF08D3"/>
    <w:rsid w:val="51F729D9"/>
    <w:rsid w:val="51FE1F51"/>
    <w:rsid w:val="52022459"/>
    <w:rsid w:val="520414F1"/>
    <w:rsid w:val="5211462D"/>
    <w:rsid w:val="52125920"/>
    <w:rsid w:val="52131359"/>
    <w:rsid w:val="52165CA5"/>
    <w:rsid w:val="522154B6"/>
    <w:rsid w:val="522B0928"/>
    <w:rsid w:val="522B4F52"/>
    <w:rsid w:val="522F3F71"/>
    <w:rsid w:val="52363B4B"/>
    <w:rsid w:val="52366F3F"/>
    <w:rsid w:val="52392A29"/>
    <w:rsid w:val="523D0D2D"/>
    <w:rsid w:val="523E616D"/>
    <w:rsid w:val="52402C77"/>
    <w:rsid w:val="52404BE0"/>
    <w:rsid w:val="52442651"/>
    <w:rsid w:val="524A104D"/>
    <w:rsid w:val="524A614E"/>
    <w:rsid w:val="5259059E"/>
    <w:rsid w:val="525F433E"/>
    <w:rsid w:val="526C08EF"/>
    <w:rsid w:val="5270207E"/>
    <w:rsid w:val="527E3917"/>
    <w:rsid w:val="527F1808"/>
    <w:rsid w:val="528606B8"/>
    <w:rsid w:val="528878B3"/>
    <w:rsid w:val="52933A02"/>
    <w:rsid w:val="529B7DE7"/>
    <w:rsid w:val="52A332CC"/>
    <w:rsid w:val="52AB2A72"/>
    <w:rsid w:val="52B17FAF"/>
    <w:rsid w:val="52B23FD6"/>
    <w:rsid w:val="52B35DDF"/>
    <w:rsid w:val="52BC106B"/>
    <w:rsid w:val="52BE21D5"/>
    <w:rsid w:val="52BF57B4"/>
    <w:rsid w:val="52C03752"/>
    <w:rsid w:val="52C7051A"/>
    <w:rsid w:val="52CA6D3A"/>
    <w:rsid w:val="52CF298B"/>
    <w:rsid w:val="52D01A43"/>
    <w:rsid w:val="52D574EB"/>
    <w:rsid w:val="52D74923"/>
    <w:rsid w:val="52DB3373"/>
    <w:rsid w:val="52DB3E1C"/>
    <w:rsid w:val="52DD2C8B"/>
    <w:rsid w:val="52E932E5"/>
    <w:rsid w:val="52EC633A"/>
    <w:rsid w:val="52ED0230"/>
    <w:rsid w:val="52F249FD"/>
    <w:rsid w:val="52FA7EDA"/>
    <w:rsid w:val="530159F9"/>
    <w:rsid w:val="530A426C"/>
    <w:rsid w:val="53181153"/>
    <w:rsid w:val="53184D16"/>
    <w:rsid w:val="531B7189"/>
    <w:rsid w:val="531D0555"/>
    <w:rsid w:val="531D550D"/>
    <w:rsid w:val="53266571"/>
    <w:rsid w:val="532925D7"/>
    <w:rsid w:val="532A121E"/>
    <w:rsid w:val="533773D4"/>
    <w:rsid w:val="534431C8"/>
    <w:rsid w:val="53490982"/>
    <w:rsid w:val="534B3308"/>
    <w:rsid w:val="534B41E3"/>
    <w:rsid w:val="534D0A86"/>
    <w:rsid w:val="535200FD"/>
    <w:rsid w:val="53597E3F"/>
    <w:rsid w:val="53676D6E"/>
    <w:rsid w:val="53691EC4"/>
    <w:rsid w:val="536F73E2"/>
    <w:rsid w:val="53817275"/>
    <w:rsid w:val="538258A3"/>
    <w:rsid w:val="538758B7"/>
    <w:rsid w:val="53883945"/>
    <w:rsid w:val="538B3956"/>
    <w:rsid w:val="538C6823"/>
    <w:rsid w:val="539224E6"/>
    <w:rsid w:val="5399722D"/>
    <w:rsid w:val="539E5B54"/>
    <w:rsid w:val="539E61D1"/>
    <w:rsid w:val="53A340AF"/>
    <w:rsid w:val="53AA24B0"/>
    <w:rsid w:val="53AC1539"/>
    <w:rsid w:val="53B62D31"/>
    <w:rsid w:val="53B82F4E"/>
    <w:rsid w:val="53CD45D9"/>
    <w:rsid w:val="53CE5A09"/>
    <w:rsid w:val="53D657E3"/>
    <w:rsid w:val="53D666CF"/>
    <w:rsid w:val="53D75B2F"/>
    <w:rsid w:val="53D86CAF"/>
    <w:rsid w:val="53E94436"/>
    <w:rsid w:val="53EE0D74"/>
    <w:rsid w:val="53EE1F9C"/>
    <w:rsid w:val="53F162B5"/>
    <w:rsid w:val="54017F19"/>
    <w:rsid w:val="540C7DAA"/>
    <w:rsid w:val="540E1489"/>
    <w:rsid w:val="54186F6B"/>
    <w:rsid w:val="54281904"/>
    <w:rsid w:val="54315712"/>
    <w:rsid w:val="5432655E"/>
    <w:rsid w:val="54387BE4"/>
    <w:rsid w:val="543D383C"/>
    <w:rsid w:val="5444132C"/>
    <w:rsid w:val="544906D5"/>
    <w:rsid w:val="54496306"/>
    <w:rsid w:val="544A5E48"/>
    <w:rsid w:val="54515166"/>
    <w:rsid w:val="54575838"/>
    <w:rsid w:val="546477CC"/>
    <w:rsid w:val="5465466C"/>
    <w:rsid w:val="546E665A"/>
    <w:rsid w:val="54783274"/>
    <w:rsid w:val="547C7E0A"/>
    <w:rsid w:val="54873DB3"/>
    <w:rsid w:val="5488570D"/>
    <w:rsid w:val="548E2A36"/>
    <w:rsid w:val="548F670D"/>
    <w:rsid w:val="5491247A"/>
    <w:rsid w:val="5493468B"/>
    <w:rsid w:val="549802EE"/>
    <w:rsid w:val="549837F2"/>
    <w:rsid w:val="54984B9E"/>
    <w:rsid w:val="549967E3"/>
    <w:rsid w:val="54A242AE"/>
    <w:rsid w:val="54A427C6"/>
    <w:rsid w:val="54AB11DC"/>
    <w:rsid w:val="54AB5215"/>
    <w:rsid w:val="54B30C59"/>
    <w:rsid w:val="54B500A7"/>
    <w:rsid w:val="54B90F4B"/>
    <w:rsid w:val="54C5774C"/>
    <w:rsid w:val="54C7704A"/>
    <w:rsid w:val="54C95541"/>
    <w:rsid w:val="54D311DA"/>
    <w:rsid w:val="54D3504D"/>
    <w:rsid w:val="54DA202E"/>
    <w:rsid w:val="54DF398A"/>
    <w:rsid w:val="54F37228"/>
    <w:rsid w:val="54FA4A54"/>
    <w:rsid w:val="54FD3476"/>
    <w:rsid w:val="54FE7C59"/>
    <w:rsid w:val="55071446"/>
    <w:rsid w:val="550E3C3A"/>
    <w:rsid w:val="5519481B"/>
    <w:rsid w:val="551C340F"/>
    <w:rsid w:val="55240479"/>
    <w:rsid w:val="552B1627"/>
    <w:rsid w:val="55422A5A"/>
    <w:rsid w:val="554576B0"/>
    <w:rsid w:val="55494AE2"/>
    <w:rsid w:val="5550673B"/>
    <w:rsid w:val="5552413A"/>
    <w:rsid w:val="55591FB7"/>
    <w:rsid w:val="556475F8"/>
    <w:rsid w:val="556A1B04"/>
    <w:rsid w:val="55827C90"/>
    <w:rsid w:val="55831A52"/>
    <w:rsid w:val="55863427"/>
    <w:rsid w:val="559724FC"/>
    <w:rsid w:val="55996BA2"/>
    <w:rsid w:val="55A30FF6"/>
    <w:rsid w:val="55A91E5B"/>
    <w:rsid w:val="55AB4579"/>
    <w:rsid w:val="55AD6E71"/>
    <w:rsid w:val="55B54F66"/>
    <w:rsid w:val="55BD3394"/>
    <w:rsid w:val="55C23B2D"/>
    <w:rsid w:val="55C66005"/>
    <w:rsid w:val="55C73D15"/>
    <w:rsid w:val="55CC2ECD"/>
    <w:rsid w:val="55CF1741"/>
    <w:rsid w:val="55D224C7"/>
    <w:rsid w:val="55D50E83"/>
    <w:rsid w:val="55DC077A"/>
    <w:rsid w:val="55DF7840"/>
    <w:rsid w:val="55E32653"/>
    <w:rsid w:val="55E350C2"/>
    <w:rsid w:val="55FE143E"/>
    <w:rsid w:val="560564AB"/>
    <w:rsid w:val="5606277C"/>
    <w:rsid w:val="560A1A10"/>
    <w:rsid w:val="5617475D"/>
    <w:rsid w:val="561F5DB4"/>
    <w:rsid w:val="56307893"/>
    <w:rsid w:val="56312BE9"/>
    <w:rsid w:val="56317DDA"/>
    <w:rsid w:val="56325BBE"/>
    <w:rsid w:val="56327F0E"/>
    <w:rsid w:val="563920EE"/>
    <w:rsid w:val="564277C8"/>
    <w:rsid w:val="564869AE"/>
    <w:rsid w:val="56503874"/>
    <w:rsid w:val="56506B2A"/>
    <w:rsid w:val="56574277"/>
    <w:rsid w:val="565826AB"/>
    <w:rsid w:val="5666683A"/>
    <w:rsid w:val="566F63C3"/>
    <w:rsid w:val="5670797A"/>
    <w:rsid w:val="56720AD5"/>
    <w:rsid w:val="567E02F2"/>
    <w:rsid w:val="56985AC8"/>
    <w:rsid w:val="56A61BD0"/>
    <w:rsid w:val="56A7680F"/>
    <w:rsid w:val="56BB704E"/>
    <w:rsid w:val="56BD4C06"/>
    <w:rsid w:val="56CB176F"/>
    <w:rsid w:val="56D14C11"/>
    <w:rsid w:val="56D3671B"/>
    <w:rsid w:val="56DB7451"/>
    <w:rsid w:val="56DF1E41"/>
    <w:rsid w:val="56E15BC8"/>
    <w:rsid w:val="56E21224"/>
    <w:rsid w:val="56E822CD"/>
    <w:rsid w:val="56EC4B78"/>
    <w:rsid w:val="56F807FF"/>
    <w:rsid w:val="5707447C"/>
    <w:rsid w:val="57126791"/>
    <w:rsid w:val="57250BF5"/>
    <w:rsid w:val="572F0DDF"/>
    <w:rsid w:val="57320CD2"/>
    <w:rsid w:val="57383901"/>
    <w:rsid w:val="573A703B"/>
    <w:rsid w:val="573E7D64"/>
    <w:rsid w:val="573F0A52"/>
    <w:rsid w:val="575174D2"/>
    <w:rsid w:val="575B3640"/>
    <w:rsid w:val="576111E5"/>
    <w:rsid w:val="57771AAE"/>
    <w:rsid w:val="57772693"/>
    <w:rsid w:val="577B58C1"/>
    <w:rsid w:val="57817AA6"/>
    <w:rsid w:val="578C6AF6"/>
    <w:rsid w:val="579010E4"/>
    <w:rsid w:val="57943946"/>
    <w:rsid w:val="57967CD3"/>
    <w:rsid w:val="57982B2B"/>
    <w:rsid w:val="579A099F"/>
    <w:rsid w:val="579B0A3E"/>
    <w:rsid w:val="57AD2344"/>
    <w:rsid w:val="57AD2AE0"/>
    <w:rsid w:val="57AE3FC0"/>
    <w:rsid w:val="57B1076F"/>
    <w:rsid w:val="57B40A61"/>
    <w:rsid w:val="57B75098"/>
    <w:rsid w:val="57BA16E1"/>
    <w:rsid w:val="57BA21B7"/>
    <w:rsid w:val="57BF22E2"/>
    <w:rsid w:val="57C10550"/>
    <w:rsid w:val="57C31672"/>
    <w:rsid w:val="57C5537E"/>
    <w:rsid w:val="57C71DED"/>
    <w:rsid w:val="57CC1A2C"/>
    <w:rsid w:val="57CC6BF9"/>
    <w:rsid w:val="57D064B9"/>
    <w:rsid w:val="57D839A1"/>
    <w:rsid w:val="57DA642B"/>
    <w:rsid w:val="57EB11DC"/>
    <w:rsid w:val="57F0722B"/>
    <w:rsid w:val="57F25391"/>
    <w:rsid w:val="57F97569"/>
    <w:rsid w:val="57FA0A25"/>
    <w:rsid w:val="57FE738F"/>
    <w:rsid w:val="580C5F47"/>
    <w:rsid w:val="581004D8"/>
    <w:rsid w:val="58116D23"/>
    <w:rsid w:val="581205D5"/>
    <w:rsid w:val="58127BF5"/>
    <w:rsid w:val="581B374B"/>
    <w:rsid w:val="582965A4"/>
    <w:rsid w:val="58305D38"/>
    <w:rsid w:val="58313767"/>
    <w:rsid w:val="583423D9"/>
    <w:rsid w:val="58367B13"/>
    <w:rsid w:val="583B0E95"/>
    <w:rsid w:val="583E6AF4"/>
    <w:rsid w:val="58401FE2"/>
    <w:rsid w:val="58403847"/>
    <w:rsid w:val="58454189"/>
    <w:rsid w:val="584751F4"/>
    <w:rsid w:val="584D6AEF"/>
    <w:rsid w:val="58502179"/>
    <w:rsid w:val="585242D5"/>
    <w:rsid w:val="58563F3D"/>
    <w:rsid w:val="585A5CD7"/>
    <w:rsid w:val="585E0650"/>
    <w:rsid w:val="5862064D"/>
    <w:rsid w:val="58635865"/>
    <w:rsid w:val="58660413"/>
    <w:rsid w:val="586F3045"/>
    <w:rsid w:val="58725E9D"/>
    <w:rsid w:val="587F7E95"/>
    <w:rsid w:val="5880752F"/>
    <w:rsid w:val="58862C4D"/>
    <w:rsid w:val="58870C9C"/>
    <w:rsid w:val="58933B54"/>
    <w:rsid w:val="58990456"/>
    <w:rsid w:val="589B7C1D"/>
    <w:rsid w:val="589F43E0"/>
    <w:rsid w:val="58A25B74"/>
    <w:rsid w:val="58A50E46"/>
    <w:rsid w:val="58AA1DA9"/>
    <w:rsid w:val="58AC124D"/>
    <w:rsid w:val="58B32308"/>
    <w:rsid w:val="58B634ED"/>
    <w:rsid w:val="58BD184C"/>
    <w:rsid w:val="58C8626D"/>
    <w:rsid w:val="58C86DA8"/>
    <w:rsid w:val="58D20B8D"/>
    <w:rsid w:val="58D77141"/>
    <w:rsid w:val="58DB1389"/>
    <w:rsid w:val="58DB3DD2"/>
    <w:rsid w:val="58DD4C9F"/>
    <w:rsid w:val="58E3503B"/>
    <w:rsid w:val="58EA17F3"/>
    <w:rsid w:val="58F1603E"/>
    <w:rsid w:val="58F45F89"/>
    <w:rsid w:val="58FC3E41"/>
    <w:rsid w:val="58FC5C9C"/>
    <w:rsid w:val="590011D5"/>
    <w:rsid w:val="59012498"/>
    <w:rsid w:val="59033671"/>
    <w:rsid w:val="5905191C"/>
    <w:rsid w:val="59087B11"/>
    <w:rsid w:val="590F32CC"/>
    <w:rsid w:val="591113AE"/>
    <w:rsid w:val="59132201"/>
    <w:rsid w:val="59157E70"/>
    <w:rsid w:val="591A55CB"/>
    <w:rsid w:val="592301EE"/>
    <w:rsid w:val="59234C08"/>
    <w:rsid w:val="59271977"/>
    <w:rsid w:val="592A701B"/>
    <w:rsid w:val="592C51FB"/>
    <w:rsid w:val="59371165"/>
    <w:rsid w:val="593A7413"/>
    <w:rsid w:val="593F6FA7"/>
    <w:rsid w:val="59405407"/>
    <w:rsid w:val="594A2997"/>
    <w:rsid w:val="594D29EA"/>
    <w:rsid w:val="594F7028"/>
    <w:rsid w:val="5951560C"/>
    <w:rsid w:val="59535858"/>
    <w:rsid w:val="595A1436"/>
    <w:rsid w:val="595C09FE"/>
    <w:rsid w:val="595C76A9"/>
    <w:rsid w:val="595D24FD"/>
    <w:rsid w:val="595F395E"/>
    <w:rsid w:val="596102C6"/>
    <w:rsid w:val="596676DE"/>
    <w:rsid w:val="596A2030"/>
    <w:rsid w:val="596A6A03"/>
    <w:rsid w:val="5973006A"/>
    <w:rsid w:val="59745E1E"/>
    <w:rsid w:val="597578FD"/>
    <w:rsid w:val="597E3090"/>
    <w:rsid w:val="598B052C"/>
    <w:rsid w:val="599C0608"/>
    <w:rsid w:val="59A4129E"/>
    <w:rsid w:val="59A842BD"/>
    <w:rsid w:val="59B364E1"/>
    <w:rsid w:val="59C4158F"/>
    <w:rsid w:val="59C504B8"/>
    <w:rsid w:val="59CF2108"/>
    <w:rsid w:val="59DA598B"/>
    <w:rsid w:val="59E13CE6"/>
    <w:rsid w:val="59E35EAB"/>
    <w:rsid w:val="59E671DE"/>
    <w:rsid w:val="59EB2C83"/>
    <w:rsid w:val="59EB3CDE"/>
    <w:rsid w:val="59F23EA6"/>
    <w:rsid w:val="59F44BBA"/>
    <w:rsid w:val="59F51E73"/>
    <w:rsid w:val="59FC3587"/>
    <w:rsid w:val="5A00257C"/>
    <w:rsid w:val="5A041568"/>
    <w:rsid w:val="5A075BFE"/>
    <w:rsid w:val="5A0E2FE7"/>
    <w:rsid w:val="5A177F43"/>
    <w:rsid w:val="5A2D572C"/>
    <w:rsid w:val="5A2F59F5"/>
    <w:rsid w:val="5A311340"/>
    <w:rsid w:val="5A342210"/>
    <w:rsid w:val="5A385B44"/>
    <w:rsid w:val="5A391C74"/>
    <w:rsid w:val="5A3E4E9A"/>
    <w:rsid w:val="5A437E9E"/>
    <w:rsid w:val="5A444B84"/>
    <w:rsid w:val="5A447119"/>
    <w:rsid w:val="5A457FD4"/>
    <w:rsid w:val="5A4850A1"/>
    <w:rsid w:val="5A4F6DF3"/>
    <w:rsid w:val="5A4F7C9B"/>
    <w:rsid w:val="5A5B4BAC"/>
    <w:rsid w:val="5A5C58F2"/>
    <w:rsid w:val="5A670ED1"/>
    <w:rsid w:val="5A681BD3"/>
    <w:rsid w:val="5A696DA2"/>
    <w:rsid w:val="5A6B1A87"/>
    <w:rsid w:val="5A6D1CBF"/>
    <w:rsid w:val="5A6D58AF"/>
    <w:rsid w:val="5A6E1AAC"/>
    <w:rsid w:val="5A7902AE"/>
    <w:rsid w:val="5A7A18A4"/>
    <w:rsid w:val="5A7C1DA6"/>
    <w:rsid w:val="5A82285B"/>
    <w:rsid w:val="5A8F3683"/>
    <w:rsid w:val="5A9804A6"/>
    <w:rsid w:val="5A981875"/>
    <w:rsid w:val="5AA23637"/>
    <w:rsid w:val="5AA35807"/>
    <w:rsid w:val="5AA906AB"/>
    <w:rsid w:val="5AAC7BD0"/>
    <w:rsid w:val="5AB03BCB"/>
    <w:rsid w:val="5AB31659"/>
    <w:rsid w:val="5AB41D58"/>
    <w:rsid w:val="5ABA225C"/>
    <w:rsid w:val="5AC04291"/>
    <w:rsid w:val="5AC159B3"/>
    <w:rsid w:val="5AC41A5C"/>
    <w:rsid w:val="5AD07AF5"/>
    <w:rsid w:val="5AD45641"/>
    <w:rsid w:val="5AD557A4"/>
    <w:rsid w:val="5AE44643"/>
    <w:rsid w:val="5AEA1A26"/>
    <w:rsid w:val="5AF41637"/>
    <w:rsid w:val="5AFA38D3"/>
    <w:rsid w:val="5B01563B"/>
    <w:rsid w:val="5B06290E"/>
    <w:rsid w:val="5B074DC5"/>
    <w:rsid w:val="5B0E39F9"/>
    <w:rsid w:val="5B1152FE"/>
    <w:rsid w:val="5B1921F2"/>
    <w:rsid w:val="5B2364C0"/>
    <w:rsid w:val="5B2D19A4"/>
    <w:rsid w:val="5B3C018F"/>
    <w:rsid w:val="5B3F4B7D"/>
    <w:rsid w:val="5B40467A"/>
    <w:rsid w:val="5B442B8E"/>
    <w:rsid w:val="5B4C4478"/>
    <w:rsid w:val="5B5450C6"/>
    <w:rsid w:val="5B580AA9"/>
    <w:rsid w:val="5B5966FB"/>
    <w:rsid w:val="5B5E33C9"/>
    <w:rsid w:val="5B5F5412"/>
    <w:rsid w:val="5B7C7930"/>
    <w:rsid w:val="5B842A0F"/>
    <w:rsid w:val="5B8721A2"/>
    <w:rsid w:val="5B897706"/>
    <w:rsid w:val="5B8F6431"/>
    <w:rsid w:val="5B930ACF"/>
    <w:rsid w:val="5BA027D5"/>
    <w:rsid w:val="5BA34E37"/>
    <w:rsid w:val="5BA41EFC"/>
    <w:rsid w:val="5BA91F42"/>
    <w:rsid w:val="5BAB68EB"/>
    <w:rsid w:val="5BB5087F"/>
    <w:rsid w:val="5BC128D5"/>
    <w:rsid w:val="5BC44813"/>
    <w:rsid w:val="5BD34E5E"/>
    <w:rsid w:val="5BD90E6E"/>
    <w:rsid w:val="5BD9594E"/>
    <w:rsid w:val="5BDF0520"/>
    <w:rsid w:val="5BE379A2"/>
    <w:rsid w:val="5BE93378"/>
    <w:rsid w:val="5BEB0862"/>
    <w:rsid w:val="5BEB7520"/>
    <w:rsid w:val="5BF33169"/>
    <w:rsid w:val="5C0223E8"/>
    <w:rsid w:val="5C030EA9"/>
    <w:rsid w:val="5C0603DD"/>
    <w:rsid w:val="5C0F668D"/>
    <w:rsid w:val="5C170003"/>
    <w:rsid w:val="5C183ECE"/>
    <w:rsid w:val="5C1A3B54"/>
    <w:rsid w:val="5C1A5EA7"/>
    <w:rsid w:val="5C1E748B"/>
    <w:rsid w:val="5C1F3C14"/>
    <w:rsid w:val="5C2C265F"/>
    <w:rsid w:val="5C3360DC"/>
    <w:rsid w:val="5C357E6A"/>
    <w:rsid w:val="5C3B654C"/>
    <w:rsid w:val="5C415946"/>
    <w:rsid w:val="5C4A57CD"/>
    <w:rsid w:val="5C4C37F7"/>
    <w:rsid w:val="5C523254"/>
    <w:rsid w:val="5C534DF5"/>
    <w:rsid w:val="5C53690D"/>
    <w:rsid w:val="5C645E64"/>
    <w:rsid w:val="5C6545EB"/>
    <w:rsid w:val="5C676DD6"/>
    <w:rsid w:val="5C6D2A75"/>
    <w:rsid w:val="5C76215B"/>
    <w:rsid w:val="5C820E20"/>
    <w:rsid w:val="5C843340"/>
    <w:rsid w:val="5C966416"/>
    <w:rsid w:val="5C9B606C"/>
    <w:rsid w:val="5C9C33C6"/>
    <w:rsid w:val="5C9C5FDA"/>
    <w:rsid w:val="5CA2463E"/>
    <w:rsid w:val="5CA42BFD"/>
    <w:rsid w:val="5CA8187E"/>
    <w:rsid w:val="5CA971F5"/>
    <w:rsid w:val="5CAC0ED5"/>
    <w:rsid w:val="5CB01E08"/>
    <w:rsid w:val="5CB81E62"/>
    <w:rsid w:val="5CC362B1"/>
    <w:rsid w:val="5CC6673D"/>
    <w:rsid w:val="5CCC74D0"/>
    <w:rsid w:val="5CCE0DFF"/>
    <w:rsid w:val="5CD3309C"/>
    <w:rsid w:val="5CD34287"/>
    <w:rsid w:val="5CD95179"/>
    <w:rsid w:val="5CDF468A"/>
    <w:rsid w:val="5CF300DF"/>
    <w:rsid w:val="5CF46C23"/>
    <w:rsid w:val="5CF65F01"/>
    <w:rsid w:val="5CF70520"/>
    <w:rsid w:val="5CF73AED"/>
    <w:rsid w:val="5CF80314"/>
    <w:rsid w:val="5CFC6FE8"/>
    <w:rsid w:val="5CFD0CC8"/>
    <w:rsid w:val="5D220574"/>
    <w:rsid w:val="5D2327F0"/>
    <w:rsid w:val="5D2A2532"/>
    <w:rsid w:val="5D352E6D"/>
    <w:rsid w:val="5D355108"/>
    <w:rsid w:val="5D3C57AF"/>
    <w:rsid w:val="5D411F46"/>
    <w:rsid w:val="5D4B2C44"/>
    <w:rsid w:val="5D4C55FA"/>
    <w:rsid w:val="5D521DEE"/>
    <w:rsid w:val="5D54486B"/>
    <w:rsid w:val="5D5B3628"/>
    <w:rsid w:val="5D5E0DED"/>
    <w:rsid w:val="5D6377A9"/>
    <w:rsid w:val="5D675903"/>
    <w:rsid w:val="5D6C32A2"/>
    <w:rsid w:val="5D6E65F9"/>
    <w:rsid w:val="5D723DC8"/>
    <w:rsid w:val="5D812FCB"/>
    <w:rsid w:val="5D8153DB"/>
    <w:rsid w:val="5D841502"/>
    <w:rsid w:val="5D9303C3"/>
    <w:rsid w:val="5D973B04"/>
    <w:rsid w:val="5D9F6819"/>
    <w:rsid w:val="5DB252F0"/>
    <w:rsid w:val="5DB87B0C"/>
    <w:rsid w:val="5DBA7BAC"/>
    <w:rsid w:val="5DC654C8"/>
    <w:rsid w:val="5DC961E3"/>
    <w:rsid w:val="5DCA3C20"/>
    <w:rsid w:val="5DD04AA9"/>
    <w:rsid w:val="5DD64142"/>
    <w:rsid w:val="5DDA0AAB"/>
    <w:rsid w:val="5DDF0CC7"/>
    <w:rsid w:val="5DE2003B"/>
    <w:rsid w:val="5DE208AE"/>
    <w:rsid w:val="5DE94589"/>
    <w:rsid w:val="5DE97D60"/>
    <w:rsid w:val="5DEE34DE"/>
    <w:rsid w:val="5DF128EA"/>
    <w:rsid w:val="5DF2097E"/>
    <w:rsid w:val="5DF51901"/>
    <w:rsid w:val="5DFD3FF0"/>
    <w:rsid w:val="5DFF40DC"/>
    <w:rsid w:val="5E0247F5"/>
    <w:rsid w:val="5E0D4B10"/>
    <w:rsid w:val="5E1D1FF6"/>
    <w:rsid w:val="5E1E3695"/>
    <w:rsid w:val="5E28161D"/>
    <w:rsid w:val="5E3018F1"/>
    <w:rsid w:val="5E34077D"/>
    <w:rsid w:val="5E366DE2"/>
    <w:rsid w:val="5E367CC3"/>
    <w:rsid w:val="5E3C5A70"/>
    <w:rsid w:val="5E3D0B85"/>
    <w:rsid w:val="5E413317"/>
    <w:rsid w:val="5E434E23"/>
    <w:rsid w:val="5E4A2198"/>
    <w:rsid w:val="5E4D7168"/>
    <w:rsid w:val="5E4E160B"/>
    <w:rsid w:val="5E515BF5"/>
    <w:rsid w:val="5E583540"/>
    <w:rsid w:val="5E5E2338"/>
    <w:rsid w:val="5E5F718D"/>
    <w:rsid w:val="5E6E0E96"/>
    <w:rsid w:val="5E7A04B5"/>
    <w:rsid w:val="5E7A347B"/>
    <w:rsid w:val="5E7D2319"/>
    <w:rsid w:val="5E840A97"/>
    <w:rsid w:val="5E8C6775"/>
    <w:rsid w:val="5E8E0218"/>
    <w:rsid w:val="5E9035FD"/>
    <w:rsid w:val="5E930DE7"/>
    <w:rsid w:val="5E94181A"/>
    <w:rsid w:val="5E954BD0"/>
    <w:rsid w:val="5E970340"/>
    <w:rsid w:val="5E9A467C"/>
    <w:rsid w:val="5E9F2BCF"/>
    <w:rsid w:val="5EB23D82"/>
    <w:rsid w:val="5EB342E1"/>
    <w:rsid w:val="5EBA1134"/>
    <w:rsid w:val="5EBF68F8"/>
    <w:rsid w:val="5EC17B0D"/>
    <w:rsid w:val="5EC611C0"/>
    <w:rsid w:val="5ECE62E4"/>
    <w:rsid w:val="5ED34337"/>
    <w:rsid w:val="5ED42061"/>
    <w:rsid w:val="5EDF47B2"/>
    <w:rsid w:val="5EE43292"/>
    <w:rsid w:val="5EE529D2"/>
    <w:rsid w:val="5EE96E9B"/>
    <w:rsid w:val="5EEF571B"/>
    <w:rsid w:val="5EF34CF2"/>
    <w:rsid w:val="5EF34FB4"/>
    <w:rsid w:val="5EF3536D"/>
    <w:rsid w:val="5EFD2AC0"/>
    <w:rsid w:val="5F054B02"/>
    <w:rsid w:val="5F0E665E"/>
    <w:rsid w:val="5F167756"/>
    <w:rsid w:val="5F1A3A3E"/>
    <w:rsid w:val="5F1A7472"/>
    <w:rsid w:val="5F210AC6"/>
    <w:rsid w:val="5F2127CC"/>
    <w:rsid w:val="5F3121EB"/>
    <w:rsid w:val="5F391DA6"/>
    <w:rsid w:val="5F3B1090"/>
    <w:rsid w:val="5F483909"/>
    <w:rsid w:val="5F504822"/>
    <w:rsid w:val="5F504A90"/>
    <w:rsid w:val="5F544789"/>
    <w:rsid w:val="5F5F4356"/>
    <w:rsid w:val="5F5F50DE"/>
    <w:rsid w:val="5F677A4F"/>
    <w:rsid w:val="5F6F3DE7"/>
    <w:rsid w:val="5F7040CA"/>
    <w:rsid w:val="5F7A0470"/>
    <w:rsid w:val="5F7C4E1D"/>
    <w:rsid w:val="5F7E50B8"/>
    <w:rsid w:val="5F8255CA"/>
    <w:rsid w:val="5F8C2FC6"/>
    <w:rsid w:val="5F8E1329"/>
    <w:rsid w:val="5F960F5A"/>
    <w:rsid w:val="5F9624DF"/>
    <w:rsid w:val="5F97538D"/>
    <w:rsid w:val="5FA0760B"/>
    <w:rsid w:val="5FAD1117"/>
    <w:rsid w:val="5FB44C98"/>
    <w:rsid w:val="5FB55008"/>
    <w:rsid w:val="5FB65BBC"/>
    <w:rsid w:val="5FB907D6"/>
    <w:rsid w:val="5FC51238"/>
    <w:rsid w:val="5FC7489C"/>
    <w:rsid w:val="5FE67AF2"/>
    <w:rsid w:val="5FE93E04"/>
    <w:rsid w:val="5FEA2847"/>
    <w:rsid w:val="5FEC023F"/>
    <w:rsid w:val="5FFB22BA"/>
    <w:rsid w:val="60003CFA"/>
    <w:rsid w:val="60177748"/>
    <w:rsid w:val="601B4111"/>
    <w:rsid w:val="601E4AE1"/>
    <w:rsid w:val="602D4B26"/>
    <w:rsid w:val="60302645"/>
    <w:rsid w:val="603E3568"/>
    <w:rsid w:val="604A3B32"/>
    <w:rsid w:val="60703F4B"/>
    <w:rsid w:val="60707D3F"/>
    <w:rsid w:val="607A2E72"/>
    <w:rsid w:val="607D307D"/>
    <w:rsid w:val="608442F6"/>
    <w:rsid w:val="6084447B"/>
    <w:rsid w:val="608624B4"/>
    <w:rsid w:val="60891BA4"/>
    <w:rsid w:val="609405E0"/>
    <w:rsid w:val="6098030E"/>
    <w:rsid w:val="609D7ADB"/>
    <w:rsid w:val="60A56AB5"/>
    <w:rsid w:val="60AA59E8"/>
    <w:rsid w:val="60B1436A"/>
    <w:rsid w:val="60BB0EBE"/>
    <w:rsid w:val="60C02DDC"/>
    <w:rsid w:val="60C43BAA"/>
    <w:rsid w:val="60C9529F"/>
    <w:rsid w:val="60CE1A3B"/>
    <w:rsid w:val="60CF4D72"/>
    <w:rsid w:val="60D203C7"/>
    <w:rsid w:val="60DD7182"/>
    <w:rsid w:val="60DF71BB"/>
    <w:rsid w:val="60E41D50"/>
    <w:rsid w:val="60EC7FD8"/>
    <w:rsid w:val="60EE0FB3"/>
    <w:rsid w:val="60EE19EA"/>
    <w:rsid w:val="60F657B3"/>
    <w:rsid w:val="60F83FC1"/>
    <w:rsid w:val="60FB097B"/>
    <w:rsid w:val="610558B6"/>
    <w:rsid w:val="610B72AE"/>
    <w:rsid w:val="61113C29"/>
    <w:rsid w:val="611853FE"/>
    <w:rsid w:val="611929F9"/>
    <w:rsid w:val="611951E1"/>
    <w:rsid w:val="611A3B1F"/>
    <w:rsid w:val="611A43FB"/>
    <w:rsid w:val="611B7866"/>
    <w:rsid w:val="612145C3"/>
    <w:rsid w:val="612A2025"/>
    <w:rsid w:val="61315930"/>
    <w:rsid w:val="61336F3B"/>
    <w:rsid w:val="61386B8A"/>
    <w:rsid w:val="613A69EE"/>
    <w:rsid w:val="613C1846"/>
    <w:rsid w:val="613F5A23"/>
    <w:rsid w:val="614E2817"/>
    <w:rsid w:val="61553E49"/>
    <w:rsid w:val="61591868"/>
    <w:rsid w:val="61631C6B"/>
    <w:rsid w:val="616F2C34"/>
    <w:rsid w:val="61716FDB"/>
    <w:rsid w:val="61725141"/>
    <w:rsid w:val="617969F6"/>
    <w:rsid w:val="617A6FC9"/>
    <w:rsid w:val="617D1B97"/>
    <w:rsid w:val="617D4080"/>
    <w:rsid w:val="61855E0E"/>
    <w:rsid w:val="618E3C6D"/>
    <w:rsid w:val="61965AF2"/>
    <w:rsid w:val="619A3156"/>
    <w:rsid w:val="619C7EEE"/>
    <w:rsid w:val="61A0748B"/>
    <w:rsid w:val="61A849EA"/>
    <w:rsid w:val="61AE2415"/>
    <w:rsid w:val="61B2131E"/>
    <w:rsid w:val="61B737A5"/>
    <w:rsid w:val="61B91318"/>
    <w:rsid w:val="61C074F0"/>
    <w:rsid w:val="61CB1B32"/>
    <w:rsid w:val="61D3660A"/>
    <w:rsid w:val="61D84107"/>
    <w:rsid w:val="61DE06E5"/>
    <w:rsid w:val="61EA6060"/>
    <w:rsid w:val="61EC2A7B"/>
    <w:rsid w:val="61F0406C"/>
    <w:rsid w:val="61FD3AAC"/>
    <w:rsid w:val="62017684"/>
    <w:rsid w:val="620963EC"/>
    <w:rsid w:val="620E40A3"/>
    <w:rsid w:val="62154F07"/>
    <w:rsid w:val="62155C1E"/>
    <w:rsid w:val="6220561C"/>
    <w:rsid w:val="622555C9"/>
    <w:rsid w:val="622B4352"/>
    <w:rsid w:val="622B4652"/>
    <w:rsid w:val="622F0F5F"/>
    <w:rsid w:val="62363797"/>
    <w:rsid w:val="62395356"/>
    <w:rsid w:val="623A62CA"/>
    <w:rsid w:val="623E07C9"/>
    <w:rsid w:val="62477981"/>
    <w:rsid w:val="624C6329"/>
    <w:rsid w:val="62524628"/>
    <w:rsid w:val="625951FA"/>
    <w:rsid w:val="626A7448"/>
    <w:rsid w:val="626A7736"/>
    <w:rsid w:val="62746F2A"/>
    <w:rsid w:val="62952EDA"/>
    <w:rsid w:val="62957807"/>
    <w:rsid w:val="6296629C"/>
    <w:rsid w:val="62A83510"/>
    <w:rsid w:val="62AA5617"/>
    <w:rsid w:val="62B20AF7"/>
    <w:rsid w:val="62B34265"/>
    <w:rsid w:val="62BC3F7B"/>
    <w:rsid w:val="62BD0CFC"/>
    <w:rsid w:val="62C3541A"/>
    <w:rsid w:val="62C577A8"/>
    <w:rsid w:val="62C653F7"/>
    <w:rsid w:val="62CB5201"/>
    <w:rsid w:val="62DA63A2"/>
    <w:rsid w:val="62DD2494"/>
    <w:rsid w:val="62ED4680"/>
    <w:rsid w:val="62F50BA4"/>
    <w:rsid w:val="62F76527"/>
    <w:rsid w:val="63002B02"/>
    <w:rsid w:val="630958E3"/>
    <w:rsid w:val="630B629E"/>
    <w:rsid w:val="6313273B"/>
    <w:rsid w:val="63170A5B"/>
    <w:rsid w:val="631A412B"/>
    <w:rsid w:val="63210A9C"/>
    <w:rsid w:val="632154D0"/>
    <w:rsid w:val="63245DD8"/>
    <w:rsid w:val="6328514F"/>
    <w:rsid w:val="63351E9D"/>
    <w:rsid w:val="633D5206"/>
    <w:rsid w:val="634052AD"/>
    <w:rsid w:val="634455AD"/>
    <w:rsid w:val="634D4782"/>
    <w:rsid w:val="635303B8"/>
    <w:rsid w:val="63553747"/>
    <w:rsid w:val="63565FD3"/>
    <w:rsid w:val="63607D53"/>
    <w:rsid w:val="636B02BB"/>
    <w:rsid w:val="636D47DA"/>
    <w:rsid w:val="63722E43"/>
    <w:rsid w:val="63730F2D"/>
    <w:rsid w:val="63755CC8"/>
    <w:rsid w:val="637834D8"/>
    <w:rsid w:val="637A57F9"/>
    <w:rsid w:val="637E19B0"/>
    <w:rsid w:val="637F0E47"/>
    <w:rsid w:val="638C77C9"/>
    <w:rsid w:val="638F7053"/>
    <w:rsid w:val="639B3809"/>
    <w:rsid w:val="63A90FE1"/>
    <w:rsid w:val="63AB5954"/>
    <w:rsid w:val="63AB5FA5"/>
    <w:rsid w:val="63AE0ADD"/>
    <w:rsid w:val="63BA04C6"/>
    <w:rsid w:val="63BF7B02"/>
    <w:rsid w:val="63C250C0"/>
    <w:rsid w:val="63C25B4A"/>
    <w:rsid w:val="63C556B6"/>
    <w:rsid w:val="63C740F2"/>
    <w:rsid w:val="63CC7A1F"/>
    <w:rsid w:val="63D61BF6"/>
    <w:rsid w:val="63DD24B9"/>
    <w:rsid w:val="63E02A10"/>
    <w:rsid w:val="63E75651"/>
    <w:rsid w:val="63F439D8"/>
    <w:rsid w:val="64093158"/>
    <w:rsid w:val="64111D5F"/>
    <w:rsid w:val="641246C8"/>
    <w:rsid w:val="641E6B2B"/>
    <w:rsid w:val="642965F5"/>
    <w:rsid w:val="64303D86"/>
    <w:rsid w:val="64360F50"/>
    <w:rsid w:val="64386248"/>
    <w:rsid w:val="64386C91"/>
    <w:rsid w:val="644F6BE5"/>
    <w:rsid w:val="64521485"/>
    <w:rsid w:val="64546761"/>
    <w:rsid w:val="64573FDD"/>
    <w:rsid w:val="645B768E"/>
    <w:rsid w:val="645B7D2C"/>
    <w:rsid w:val="645C3D0D"/>
    <w:rsid w:val="6467555B"/>
    <w:rsid w:val="646A4E43"/>
    <w:rsid w:val="646B703C"/>
    <w:rsid w:val="64736BBC"/>
    <w:rsid w:val="647660D8"/>
    <w:rsid w:val="648B17D7"/>
    <w:rsid w:val="64955557"/>
    <w:rsid w:val="649C55B8"/>
    <w:rsid w:val="64A1639F"/>
    <w:rsid w:val="64A27B6F"/>
    <w:rsid w:val="64A426C0"/>
    <w:rsid w:val="64A9463D"/>
    <w:rsid w:val="64AE4CE7"/>
    <w:rsid w:val="64AF1661"/>
    <w:rsid w:val="64B36612"/>
    <w:rsid w:val="64CB5B44"/>
    <w:rsid w:val="64CF3E87"/>
    <w:rsid w:val="64D1437A"/>
    <w:rsid w:val="64D65F61"/>
    <w:rsid w:val="64D67013"/>
    <w:rsid w:val="64E5490E"/>
    <w:rsid w:val="64ED2A43"/>
    <w:rsid w:val="64F109FA"/>
    <w:rsid w:val="650147BD"/>
    <w:rsid w:val="65055656"/>
    <w:rsid w:val="65065B00"/>
    <w:rsid w:val="65082C63"/>
    <w:rsid w:val="650F2036"/>
    <w:rsid w:val="65164778"/>
    <w:rsid w:val="651F439E"/>
    <w:rsid w:val="6526082C"/>
    <w:rsid w:val="652D0420"/>
    <w:rsid w:val="65335705"/>
    <w:rsid w:val="653A2EC9"/>
    <w:rsid w:val="65426027"/>
    <w:rsid w:val="654956ED"/>
    <w:rsid w:val="65530998"/>
    <w:rsid w:val="6555786C"/>
    <w:rsid w:val="655B60ED"/>
    <w:rsid w:val="655E6253"/>
    <w:rsid w:val="65654FA8"/>
    <w:rsid w:val="656B1F8C"/>
    <w:rsid w:val="65706CFB"/>
    <w:rsid w:val="65716537"/>
    <w:rsid w:val="65732C29"/>
    <w:rsid w:val="657B77D2"/>
    <w:rsid w:val="657C203E"/>
    <w:rsid w:val="657D7204"/>
    <w:rsid w:val="657F2573"/>
    <w:rsid w:val="658162B3"/>
    <w:rsid w:val="65824605"/>
    <w:rsid w:val="65857DC5"/>
    <w:rsid w:val="65871163"/>
    <w:rsid w:val="658F279A"/>
    <w:rsid w:val="6590142A"/>
    <w:rsid w:val="659652B9"/>
    <w:rsid w:val="65997668"/>
    <w:rsid w:val="65A71891"/>
    <w:rsid w:val="65B808BE"/>
    <w:rsid w:val="65BC05B7"/>
    <w:rsid w:val="65BC71F6"/>
    <w:rsid w:val="65BD71AE"/>
    <w:rsid w:val="65C920EB"/>
    <w:rsid w:val="65C929E7"/>
    <w:rsid w:val="65CC757B"/>
    <w:rsid w:val="65CE272C"/>
    <w:rsid w:val="65E72D78"/>
    <w:rsid w:val="65ED021D"/>
    <w:rsid w:val="65ED7CC6"/>
    <w:rsid w:val="65F05B32"/>
    <w:rsid w:val="65F63CC8"/>
    <w:rsid w:val="65F8181D"/>
    <w:rsid w:val="65FE58C9"/>
    <w:rsid w:val="660126AF"/>
    <w:rsid w:val="6609150C"/>
    <w:rsid w:val="660A13C0"/>
    <w:rsid w:val="660B10DA"/>
    <w:rsid w:val="660B4D1B"/>
    <w:rsid w:val="660B5191"/>
    <w:rsid w:val="661120AC"/>
    <w:rsid w:val="66135C74"/>
    <w:rsid w:val="66136D46"/>
    <w:rsid w:val="6615335A"/>
    <w:rsid w:val="661E75A6"/>
    <w:rsid w:val="6629370A"/>
    <w:rsid w:val="66333640"/>
    <w:rsid w:val="66337137"/>
    <w:rsid w:val="663453BE"/>
    <w:rsid w:val="663A1ED0"/>
    <w:rsid w:val="66495432"/>
    <w:rsid w:val="665107CD"/>
    <w:rsid w:val="6651569C"/>
    <w:rsid w:val="66553513"/>
    <w:rsid w:val="665705E0"/>
    <w:rsid w:val="665742AD"/>
    <w:rsid w:val="665C6CA9"/>
    <w:rsid w:val="66625836"/>
    <w:rsid w:val="66640C54"/>
    <w:rsid w:val="666457A1"/>
    <w:rsid w:val="66657656"/>
    <w:rsid w:val="66725B1C"/>
    <w:rsid w:val="667322B0"/>
    <w:rsid w:val="6677437D"/>
    <w:rsid w:val="667E5EAC"/>
    <w:rsid w:val="66823D25"/>
    <w:rsid w:val="6683525B"/>
    <w:rsid w:val="669175F0"/>
    <w:rsid w:val="66981EA3"/>
    <w:rsid w:val="66A753FF"/>
    <w:rsid w:val="66B13B8B"/>
    <w:rsid w:val="66B97C3F"/>
    <w:rsid w:val="66BB3011"/>
    <w:rsid w:val="66BB384B"/>
    <w:rsid w:val="66BC225D"/>
    <w:rsid w:val="66BC277C"/>
    <w:rsid w:val="66BE0F79"/>
    <w:rsid w:val="66C03EBD"/>
    <w:rsid w:val="66CD0248"/>
    <w:rsid w:val="66D167D8"/>
    <w:rsid w:val="66DA4B68"/>
    <w:rsid w:val="66DC55F9"/>
    <w:rsid w:val="66E3517F"/>
    <w:rsid w:val="66F24688"/>
    <w:rsid w:val="66F32AFD"/>
    <w:rsid w:val="66F65898"/>
    <w:rsid w:val="66FA3A37"/>
    <w:rsid w:val="66FC3278"/>
    <w:rsid w:val="670656F3"/>
    <w:rsid w:val="6707065C"/>
    <w:rsid w:val="670A5FBE"/>
    <w:rsid w:val="670D4812"/>
    <w:rsid w:val="67145A1A"/>
    <w:rsid w:val="671B3CE6"/>
    <w:rsid w:val="67263BF9"/>
    <w:rsid w:val="67283CF2"/>
    <w:rsid w:val="672873E6"/>
    <w:rsid w:val="67486EEB"/>
    <w:rsid w:val="674A2DDB"/>
    <w:rsid w:val="674D7BE9"/>
    <w:rsid w:val="67500547"/>
    <w:rsid w:val="67536CE2"/>
    <w:rsid w:val="67590CDA"/>
    <w:rsid w:val="676B3ADE"/>
    <w:rsid w:val="676C00DE"/>
    <w:rsid w:val="676D1E0F"/>
    <w:rsid w:val="676E6DC6"/>
    <w:rsid w:val="6772435F"/>
    <w:rsid w:val="67740DBE"/>
    <w:rsid w:val="67754E68"/>
    <w:rsid w:val="677E2AC6"/>
    <w:rsid w:val="67883328"/>
    <w:rsid w:val="678A2B0F"/>
    <w:rsid w:val="6792554B"/>
    <w:rsid w:val="679700AC"/>
    <w:rsid w:val="679A4883"/>
    <w:rsid w:val="67A03290"/>
    <w:rsid w:val="67AA258A"/>
    <w:rsid w:val="67AF7EC3"/>
    <w:rsid w:val="67B001F7"/>
    <w:rsid w:val="67B35ACD"/>
    <w:rsid w:val="67B7613E"/>
    <w:rsid w:val="67BA091F"/>
    <w:rsid w:val="67BD4CEC"/>
    <w:rsid w:val="67CE6340"/>
    <w:rsid w:val="67D01C35"/>
    <w:rsid w:val="67D62E03"/>
    <w:rsid w:val="67E00E12"/>
    <w:rsid w:val="67FA509A"/>
    <w:rsid w:val="6801483F"/>
    <w:rsid w:val="6804587C"/>
    <w:rsid w:val="68052779"/>
    <w:rsid w:val="681757C7"/>
    <w:rsid w:val="68234B62"/>
    <w:rsid w:val="68266801"/>
    <w:rsid w:val="682728B1"/>
    <w:rsid w:val="68282FBB"/>
    <w:rsid w:val="682A1A0F"/>
    <w:rsid w:val="682D3CAC"/>
    <w:rsid w:val="682D79D4"/>
    <w:rsid w:val="68365B63"/>
    <w:rsid w:val="683C3CE9"/>
    <w:rsid w:val="683F3F23"/>
    <w:rsid w:val="68412C05"/>
    <w:rsid w:val="68483090"/>
    <w:rsid w:val="684A0C9B"/>
    <w:rsid w:val="684A241F"/>
    <w:rsid w:val="686379C6"/>
    <w:rsid w:val="686B43CA"/>
    <w:rsid w:val="686B6518"/>
    <w:rsid w:val="68703E1E"/>
    <w:rsid w:val="687420AD"/>
    <w:rsid w:val="68781337"/>
    <w:rsid w:val="68891E99"/>
    <w:rsid w:val="68927DAD"/>
    <w:rsid w:val="689E1FA4"/>
    <w:rsid w:val="689F7EB2"/>
    <w:rsid w:val="68A5715A"/>
    <w:rsid w:val="68A76977"/>
    <w:rsid w:val="68AF77CD"/>
    <w:rsid w:val="68B0195F"/>
    <w:rsid w:val="68BE44DE"/>
    <w:rsid w:val="68C3472A"/>
    <w:rsid w:val="68C37FB8"/>
    <w:rsid w:val="68CB0103"/>
    <w:rsid w:val="68CC00B4"/>
    <w:rsid w:val="68CC09BF"/>
    <w:rsid w:val="68CE183A"/>
    <w:rsid w:val="68D151A6"/>
    <w:rsid w:val="68D67F56"/>
    <w:rsid w:val="68D73A8F"/>
    <w:rsid w:val="68E55C60"/>
    <w:rsid w:val="68F127F3"/>
    <w:rsid w:val="68FF79FC"/>
    <w:rsid w:val="69094309"/>
    <w:rsid w:val="690B1C41"/>
    <w:rsid w:val="690C60B5"/>
    <w:rsid w:val="69160EFD"/>
    <w:rsid w:val="691F54E1"/>
    <w:rsid w:val="6922509B"/>
    <w:rsid w:val="692C1069"/>
    <w:rsid w:val="69323C2E"/>
    <w:rsid w:val="69384B65"/>
    <w:rsid w:val="693A3CDA"/>
    <w:rsid w:val="693B4DE3"/>
    <w:rsid w:val="693E5340"/>
    <w:rsid w:val="69487C36"/>
    <w:rsid w:val="694A7031"/>
    <w:rsid w:val="694E3314"/>
    <w:rsid w:val="69520B6B"/>
    <w:rsid w:val="69590BC0"/>
    <w:rsid w:val="695B2DF5"/>
    <w:rsid w:val="695F0D3D"/>
    <w:rsid w:val="69630A03"/>
    <w:rsid w:val="69657926"/>
    <w:rsid w:val="69741174"/>
    <w:rsid w:val="69793999"/>
    <w:rsid w:val="697C13A0"/>
    <w:rsid w:val="697F33DE"/>
    <w:rsid w:val="69860AF8"/>
    <w:rsid w:val="69860D43"/>
    <w:rsid w:val="69884A40"/>
    <w:rsid w:val="69897785"/>
    <w:rsid w:val="698E7D76"/>
    <w:rsid w:val="69A459C3"/>
    <w:rsid w:val="69A6312E"/>
    <w:rsid w:val="69AA5852"/>
    <w:rsid w:val="69B32B67"/>
    <w:rsid w:val="69B635CE"/>
    <w:rsid w:val="69B65207"/>
    <w:rsid w:val="69BC7132"/>
    <w:rsid w:val="69C746AB"/>
    <w:rsid w:val="69CA3F91"/>
    <w:rsid w:val="69CE1802"/>
    <w:rsid w:val="69DC7C82"/>
    <w:rsid w:val="69DF3250"/>
    <w:rsid w:val="69E07061"/>
    <w:rsid w:val="69E21ED2"/>
    <w:rsid w:val="69E65E2A"/>
    <w:rsid w:val="69E94FC8"/>
    <w:rsid w:val="69EC2B9C"/>
    <w:rsid w:val="69EC316D"/>
    <w:rsid w:val="69F16EF8"/>
    <w:rsid w:val="69F24DCF"/>
    <w:rsid w:val="69F62533"/>
    <w:rsid w:val="69FF2AA5"/>
    <w:rsid w:val="6A0502C1"/>
    <w:rsid w:val="6A050609"/>
    <w:rsid w:val="6A064692"/>
    <w:rsid w:val="6A076190"/>
    <w:rsid w:val="6A094487"/>
    <w:rsid w:val="6A0F79FF"/>
    <w:rsid w:val="6A133297"/>
    <w:rsid w:val="6A1775C4"/>
    <w:rsid w:val="6A1A653A"/>
    <w:rsid w:val="6A1D2B21"/>
    <w:rsid w:val="6A224CC6"/>
    <w:rsid w:val="6A23222C"/>
    <w:rsid w:val="6A2743C9"/>
    <w:rsid w:val="6A291377"/>
    <w:rsid w:val="6A394950"/>
    <w:rsid w:val="6A3B2A26"/>
    <w:rsid w:val="6A405B02"/>
    <w:rsid w:val="6A4B3FD1"/>
    <w:rsid w:val="6A4C2349"/>
    <w:rsid w:val="6A515B58"/>
    <w:rsid w:val="6A520ADF"/>
    <w:rsid w:val="6A5409B6"/>
    <w:rsid w:val="6A587166"/>
    <w:rsid w:val="6A5F67E1"/>
    <w:rsid w:val="6A616F9E"/>
    <w:rsid w:val="6A6552DB"/>
    <w:rsid w:val="6A6A71CF"/>
    <w:rsid w:val="6A6E23A2"/>
    <w:rsid w:val="6A701B60"/>
    <w:rsid w:val="6A704A88"/>
    <w:rsid w:val="6A70637F"/>
    <w:rsid w:val="6A7A63CF"/>
    <w:rsid w:val="6A7B43C5"/>
    <w:rsid w:val="6A7F7721"/>
    <w:rsid w:val="6A813304"/>
    <w:rsid w:val="6A8334EE"/>
    <w:rsid w:val="6A9E5A61"/>
    <w:rsid w:val="6AA07E86"/>
    <w:rsid w:val="6AA17ECF"/>
    <w:rsid w:val="6AA945BE"/>
    <w:rsid w:val="6AB32AD1"/>
    <w:rsid w:val="6AB91CBD"/>
    <w:rsid w:val="6ABC69D5"/>
    <w:rsid w:val="6ABF549C"/>
    <w:rsid w:val="6AD866CF"/>
    <w:rsid w:val="6AE46A22"/>
    <w:rsid w:val="6AEA1899"/>
    <w:rsid w:val="6AEC6010"/>
    <w:rsid w:val="6AEE4156"/>
    <w:rsid w:val="6AF43769"/>
    <w:rsid w:val="6AF81829"/>
    <w:rsid w:val="6AFA521D"/>
    <w:rsid w:val="6AFE15ED"/>
    <w:rsid w:val="6B000735"/>
    <w:rsid w:val="6B065A8F"/>
    <w:rsid w:val="6B07503E"/>
    <w:rsid w:val="6B097AD2"/>
    <w:rsid w:val="6B0A1294"/>
    <w:rsid w:val="6B0A6323"/>
    <w:rsid w:val="6B0C3832"/>
    <w:rsid w:val="6B0E2B5F"/>
    <w:rsid w:val="6B104DC9"/>
    <w:rsid w:val="6B163E09"/>
    <w:rsid w:val="6B17224E"/>
    <w:rsid w:val="6B176BEB"/>
    <w:rsid w:val="6B1C52E7"/>
    <w:rsid w:val="6B2103C6"/>
    <w:rsid w:val="6B234D0E"/>
    <w:rsid w:val="6B2411D9"/>
    <w:rsid w:val="6B2D3F44"/>
    <w:rsid w:val="6B2D6641"/>
    <w:rsid w:val="6B2F266C"/>
    <w:rsid w:val="6B312F1A"/>
    <w:rsid w:val="6B335C92"/>
    <w:rsid w:val="6B3C4A77"/>
    <w:rsid w:val="6B482422"/>
    <w:rsid w:val="6B4B75D2"/>
    <w:rsid w:val="6B4F3F35"/>
    <w:rsid w:val="6B51569E"/>
    <w:rsid w:val="6B5F08B4"/>
    <w:rsid w:val="6B695867"/>
    <w:rsid w:val="6B6E6516"/>
    <w:rsid w:val="6B7132FE"/>
    <w:rsid w:val="6B753D4F"/>
    <w:rsid w:val="6B797D34"/>
    <w:rsid w:val="6B7A4729"/>
    <w:rsid w:val="6B843F0A"/>
    <w:rsid w:val="6B8C18F9"/>
    <w:rsid w:val="6B8E643C"/>
    <w:rsid w:val="6B960B83"/>
    <w:rsid w:val="6B97474E"/>
    <w:rsid w:val="6B991EE9"/>
    <w:rsid w:val="6BA12650"/>
    <w:rsid w:val="6BA57A9F"/>
    <w:rsid w:val="6BAA0830"/>
    <w:rsid w:val="6BBF436D"/>
    <w:rsid w:val="6BCA7563"/>
    <w:rsid w:val="6BD36E03"/>
    <w:rsid w:val="6BD405F1"/>
    <w:rsid w:val="6BDD420F"/>
    <w:rsid w:val="6BDD65C1"/>
    <w:rsid w:val="6BE07290"/>
    <w:rsid w:val="6BE82310"/>
    <w:rsid w:val="6BEB23D4"/>
    <w:rsid w:val="6C0131B3"/>
    <w:rsid w:val="6C041DA1"/>
    <w:rsid w:val="6C04314F"/>
    <w:rsid w:val="6C093B88"/>
    <w:rsid w:val="6C0C3493"/>
    <w:rsid w:val="6C0D5AB5"/>
    <w:rsid w:val="6C0F3FDA"/>
    <w:rsid w:val="6C210A71"/>
    <w:rsid w:val="6C262D6F"/>
    <w:rsid w:val="6C2853C1"/>
    <w:rsid w:val="6C2B4A52"/>
    <w:rsid w:val="6C2C4084"/>
    <w:rsid w:val="6C2D5156"/>
    <w:rsid w:val="6C2F2D2B"/>
    <w:rsid w:val="6C355E6D"/>
    <w:rsid w:val="6C3A419E"/>
    <w:rsid w:val="6C404AE6"/>
    <w:rsid w:val="6C461A8C"/>
    <w:rsid w:val="6C471DE8"/>
    <w:rsid w:val="6C477F48"/>
    <w:rsid w:val="6C4B5178"/>
    <w:rsid w:val="6C4C3154"/>
    <w:rsid w:val="6C546640"/>
    <w:rsid w:val="6C5B10D2"/>
    <w:rsid w:val="6C5C7FBD"/>
    <w:rsid w:val="6C5D7215"/>
    <w:rsid w:val="6C751806"/>
    <w:rsid w:val="6C7A19ED"/>
    <w:rsid w:val="6C825E6C"/>
    <w:rsid w:val="6C84002B"/>
    <w:rsid w:val="6C851B13"/>
    <w:rsid w:val="6C88521C"/>
    <w:rsid w:val="6C8B0F3D"/>
    <w:rsid w:val="6C93621A"/>
    <w:rsid w:val="6C9A13EC"/>
    <w:rsid w:val="6C9B4308"/>
    <w:rsid w:val="6C9C5ACB"/>
    <w:rsid w:val="6C9F0EAA"/>
    <w:rsid w:val="6CA235C3"/>
    <w:rsid w:val="6CA502DB"/>
    <w:rsid w:val="6CAC0CF5"/>
    <w:rsid w:val="6CAE5F5C"/>
    <w:rsid w:val="6CBA1F54"/>
    <w:rsid w:val="6CBC7D1D"/>
    <w:rsid w:val="6CBD413B"/>
    <w:rsid w:val="6CBF6842"/>
    <w:rsid w:val="6CC11FAE"/>
    <w:rsid w:val="6CC27EEA"/>
    <w:rsid w:val="6CC356F3"/>
    <w:rsid w:val="6CC81389"/>
    <w:rsid w:val="6CCA0B8D"/>
    <w:rsid w:val="6CCB1DD6"/>
    <w:rsid w:val="6CD331A4"/>
    <w:rsid w:val="6CD34E01"/>
    <w:rsid w:val="6CDA0131"/>
    <w:rsid w:val="6CF65BFE"/>
    <w:rsid w:val="6CFB0099"/>
    <w:rsid w:val="6D05464A"/>
    <w:rsid w:val="6D065918"/>
    <w:rsid w:val="6D0C2227"/>
    <w:rsid w:val="6D0F5128"/>
    <w:rsid w:val="6D12181D"/>
    <w:rsid w:val="6D17781F"/>
    <w:rsid w:val="6D1D213E"/>
    <w:rsid w:val="6D225BAB"/>
    <w:rsid w:val="6D2375E3"/>
    <w:rsid w:val="6D325457"/>
    <w:rsid w:val="6D3969B4"/>
    <w:rsid w:val="6D3B458E"/>
    <w:rsid w:val="6D4631F2"/>
    <w:rsid w:val="6D464717"/>
    <w:rsid w:val="6D4C112A"/>
    <w:rsid w:val="6D5065FC"/>
    <w:rsid w:val="6D563111"/>
    <w:rsid w:val="6D565758"/>
    <w:rsid w:val="6D5A6E93"/>
    <w:rsid w:val="6D6236CB"/>
    <w:rsid w:val="6D6869EC"/>
    <w:rsid w:val="6D8251A7"/>
    <w:rsid w:val="6D94194E"/>
    <w:rsid w:val="6DA058CE"/>
    <w:rsid w:val="6DA25577"/>
    <w:rsid w:val="6DA61C93"/>
    <w:rsid w:val="6DB40C1B"/>
    <w:rsid w:val="6DB4564E"/>
    <w:rsid w:val="6DB6610C"/>
    <w:rsid w:val="6DB77B3C"/>
    <w:rsid w:val="6DB9200D"/>
    <w:rsid w:val="6DBC5357"/>
    <w:rsid w:val="6DBD7FCC"/>
    <w:rsid w:val="6DCE5DC1"/>
    <w:rsid w:val="6DE05B78"/>
    <w:rsid w:val="6DE22CE3"/>
    <w:rsid w:val="6DF257F7"/>
    <w:rsid w:val="6DF74F02"/>
    <w:rsid w:val="6DFC3DB8"/>
    <w:rsid w:val="6E065842"/>
    <w:rsid w:val="6E1B5F0B"/>
    <w:rsid w:val="6E1D3EF9"/>
    <w:rsid w:val="6E226B42"/>
    <w:rsid w:val="6E3652B9"/>
    <w:rsid w:val="6E3959AC"/>
    <w:rsid w:val="6E4050AA"/>
    <w:rsid w:val="6E4F6071"/>
    <w:rsid w:val="6E5B11A0"/>
    <w:rsid w:val="6E5F6E99"/>
    <w:rsid w:val="6E631DB0"/>
    <w:rsid w:val="6E6850E2"/>
    <w:rsid w:val="6E69101B"/>
    <w:rsid w:val="6E6B28E9"/>
    <w:rsid w:val="6E7575BB"/>
    <w:rsid w:val="6E863728"/>
    <w:rsid w:val="6E88107F"/>
    <w:rsid w:val="6E8A380E"/>
    <w:rsid w:val="6E8E42CF"/>
    <w:rsid w:val="6E9C7547"/>
    <w:rsid w:val="6EB51DBF"/>
    <w:rsid w:val="6ED71B1E"/>
    <w:rsid w:val="6ED84AAE"/>
    <w:rsid w:val="6EDC62A4"/>
    <w:rsid w:val="6EDE1180"/>
    <w:rsid w:val="6EE67989"/>
    <w:rsid w:val="6EED125C"/>
    <w:rsid w:val="6EEF1316"/>
    <w:rsid w:val="6F0A16D5"/>
    <w:rsid w:val="6F0B1008"/>
    <w:rsid w:val="6F0E0937"/>
    <w:rsid w:val="6F1717C6"/>
    <w:rsid w:val="6F1B522C"/>
    <w:rsid w:val="6F2572EC"/>
    <w:rsid w:val="6F266F52"/>
    <w:rsid w:val="6F2A7686"/>
    <w:rsid w:val="6F2B7886"/>
    <w:rsid w:val="6F38731F"/>
    <w:rsid w:val="6F3A31B8"/>
    <w:rsid w:val="6F3C5206"/>
    <w:rsid w:val="6F3F1DBB"/>
    <w:rsid w:val="6F3F3A37"/>
    <w:rsid w:val="6F4271D9"/>
    <w:rsid w:val="6F435839"/>
    <w:rsid w:val="6F442B7B"/>
    <w:rsid w:val="6F476843"/>
    <w:rsid w:val="6F4C41B4"/>
    <w:rsid w:val="6F4C7535"/>
    <w:rsid w:val="6F4F5F58"/>
    <w:rsid w:val="6F5042F2"/>
    <w:rsid w:val="6F5E6991"/>
    <w:rsid w:val="6F7035CC"/>
    <w:rsid w:val="6F746F94"/>
    <w:rsid w:val="6F7C11C4"/>
    <w:rsid w:val="6F7D2007"/>
    <w:rsid w:val="6F7E5CEB"/>
    <w:rsid w:val="6F866925"/>
    <w:rsid w:val="6F912177"/>
    <w:rsid w:val="6F91297D"/>
    <w:rsid w:val="6F94134E"/>
    <w:rsid w:val="6F9A5B61"/>
    <w:rsid w:val="6F9B6E34"/>
    <w:rsid w:val="6FA77A9C"/>
    <w:rsid w:val="6FA96F23"/>
    <w:rsid w:val="6FAB7139"/>
    <w:rsid w:val="6FD00B15"/>
    <w:rsid w:val="6FD24FC4"/>
    <w:rsid w:val="6FDE21CB"/>
    <w:rsid w:val="6FDE3DE6"/>
    <w:rsid w:val="6FF763CF"/>
    <w:rsid w:val="6FFF00F4"/>
    <w:rsid w:val="70136857"/>
    <w:rsid w:val="701A48A6"/>
    <w:rsid w:val="70325FCE"/>
    <w:rsid w:val="70331241"/>
    <w:rsid w:val="703560CD"/>
    <w:rsid w:val="70362843"/>
    <w:rsid w:val="70387541"/>
    <w:rsid w:val="703A447D"/>
    <w:rsid w:val="703B1AAE"/>
    <w:rsid w:val="703C6073"/>
    <w:rsid w:val="70470D2C"/>
    <w:rsid w:val="704D1595"/>
    <w:rsid w:val="704F1FBE"/>
    <w:rsid w:val="70547D7A"/>
    <w:rsid w:val="705E45A6"/>
    <w:rsid w:val="705E5BB2"/>
    <w:rsid w:val="705F1411"/>
    <w:rsid w:val="706338D2"/>
    <w:rsid w:val="70686060"/>
    <w:rsid w:val="706D70AE"/>
    <w:rsid w:val="707705D4"/>
    <w:rsid w:val="70841637"/>
    <w:rsid w:val="70902EE4"/>
    <w:rsid w:val="709274A6"/>
    <w:rsid w:val="70936CB7"/>
    <w:rsid w:val="7098749D"/>
    <w:rsid w:val="70A27E96"/>
    <w:rsid w:val="70A32AF8"/>
    <w:rsid w:val="70A666D1"/>
    <w:rsid w:val="70B067C0"/>
    <w:rsid w:val="70B141C7"/>
    <w:rsid w:val="70B24CED"/>
    <w:rsid w:val="70BB2F34"/>
    <w:rsid w:val="70BE3B8B"/>
    <w:rsid w:val="70BF01DD"/>
    <w:rsid w:val="70BF7084"/>
    <w:rsid w:val="70C603B1"/>
    <w:rsid w:val="70CD4B56"/>
    <w:rsid w:val="70DB31F4"/>
    <w:rsid w:val="70DE25FA"/>
    <w:rsid w:val="70F4549A"/>
    <w:rsid w:val="71033512"/>
    <w:rsid w:val="71033A6D"/>
    <w:rsid w:val="710A7B52"/>
    <w:rsid w:val="710F290C"/>
    <w:rsid w:val="711558C1"/>
    <w:rsid w:val="71170380"/>
    <w:rsid w:val="712119E2"/>
    <w:rsid w:val="71216EF7"/>
    <w:rsid w:val="71350262"/>
    <w:rsid w:val="713707CB"/>
    <w:rsid w:val="713C29CE"/>
    <w:rsid w:val="71421535"/>
    <w:rsid w:val="71502D25"/>
    <w:rsid w:val="7154382B"/>
    <w:rsid w:val="715476F2"/>
    <w:rsid w:val="71600936"/>
    <w:rsid w:val="71604316"/>
    <w:rsid w:val="716C14CB"/>
    <w:rsid w:val="71800BF2"/>
    <w:rsid w:val="719A68DE"/>
    <w:rsid w:val="719E44BF"/>
    <w:rsid w:val="71A56D7D"/>
    <w:rsid w:val="71A7201E"/>
    <w:rsid w:val="71A76EDB"/>
    <w:rsid w:val="71AC049C"/>
    <w:rsid w:val="71AC2DBA"/>
    <w:rsid w:val="71B20380"/>
    <w:rsid w:val="71B82ABF"/>
    <w:rsid w:val="71B95824"/>
    <w:rsid w:val="71BA1628"/>
    <w:rsid w:val="71BB55F3"/>
    <w:rsid w:val="71C15974"/>
    <w:rsid w:val="71C50F06"/>
    <w:rsid w:val="71CC36DC"/>
    <w:rsid w:val="71CE4913"/>
    <w:rsid w:val="71D400E3"/>
    <w:rsid w:val="71DC50AA"/>
    <w:rsid w:val="71DE57A9"/>
    <w:rsid w:val="71DE7483"/>
    <w:rsid w:val="71E20BAA"/>
    <w:rsid w:val="71E75C78"/>
    <w:rsid w:val="71ED1A3C"/>
    <w:rsid w:val="71F1306B"/>
    <w:rsid w:val="71FA7CDD"/>
    <w:rsid w:val="71FF1EB5"/>
    <w:rsid w:val="72014AE7"/>
    <w:rsid w:val="72135DEE"/>
    <w:rsid w:val="72164331"/>
    <w:rsid w:val="721B28BA"/>
    <w:rsid w:val="722367B7"/>
    <w:rsid w:val="722C20A9"/>
    <w:rsid w:val="722D4A54"/>
    <w:rsid w:val="722E4C14"/>
    <w:rsid w:val="723019D4"/>
    <w:rsid w:val="723C7B2E"/>
    <w:rsid w:val="72432F74"/>
    <w:rsid w:val="724904FF"/>
    <w:rsid w:val="72493D51"/>
    <w:rsid w:val="724978DB"/>
    <w:rsid w:val="72523B45"/>
    <w:rsid w:val="72525F31"/>
    <w:rsid w:val="725B2049"/>
    <w:rsid w:val="725F27FE"/>
    <w:rsid w:val="725F35E1"/>
    <w:rsid w:val="726E7170"/>
    <w:rsid w:val="726F5ABF"/>
    <w:rsid w:val="726F7992"/>
    <w:rsid w:val="72707CDB"/>
    <w:rsid w:val="727203B0"/>
    <w:rsid w:val="72752226"/>
    <w:rsid w:val="72772046"/>
    <w:rsid w:val="72790695"/>
    <w:rsid w:val="7280207B"/>
    <w:rsid w:val="728126C6"/>
    <w:rsid w:val="728F598F"/>
    <w:rsid w:val="72924225"/>
    <w:rsid w:val="72930BCC"/>
    <w:rsid w:val="72987A74"/>
    <w:rsid w:val="729B2FE0"/>
    <w:rsid w:val="72A10F8A"/>
    <w:rsid w:val="72A12B36"/>
    <w:rsid w:val="72B77C76"/>
    <w:rsid w:val="72BA4C43"/>
    <w:rsid w:val="72BE0CE6"/>
    <w:rsid w:val="72C03B24"/>
    <w:rsid w:val="72C10C7B"/>
    <w:rsid w:val="72C25CB3"/>
    <w:rsid w:val="72C363D3"/>
    <w:rsid w:val="72C47E63"/>
    <w:rsid w:val="72CA6AE0"/>
    <w:rsid w:val="72D02C96"/>
    <w:rsid w:val="72D24664"/>
    <w:rsid w:val="72D92B94"/>
    <w:rsid w:val="72E27847"/>
    <w:rsid w:val="72E66016"/>
    <w:rsid w:val="72F2022E"/>
    <w:rsid w:val="72F643D7"/>
    <w:rsid w:val="72FA45F0"/>
    <w:rsid w:val="72FE6594"/>
    <w:rsid w:val="72FE7A47"/>
    <w:rsid w:val="730F16AD"/>
    <w:rsid w:val="7315350B"/>
    <w:rsid w:val="731E7120"/>
    <w:rsid w:val="73236896"/>
    <w:rsid w:val="73244795"/>
    <w:rsid w:val="73272B65"/>
    <w:rsid w:val="7331708F"/>
    <w:rsid w:val="73352F4B"/>
    <w:rsid w:val="733F7FE8"/>
    <w:rsid w:val="734843BD"/>
    <w:rsid w:val="73486866"/>
    <w:rsid w:val="734D71B7"/>
    <w:rsid w:val="7354745E"/>
    <w:rsid w:val="73574247"/>
    <w:rsid w:val="735901E8"/>
    <w:rsid w:val="73642D4E"/>
    <w:rsid w:val="73722B5B"/>
    <w:rsid w:val="737E69C5"/>
    <w:rsid w:val="738224D7"/>
    <w:rsid w:val="73887711"/>
    <w:rsid w:val="738C2837"/>
    <w:rsid w:val="738D5519"/>
    <w:rsid w:val="738F4F62"/>
    <w:rsid w:val="73915C48"/>
    <w:rsid w:val="73916439"/>
    <w:rsid w:val="73942716"/>
    <w:rsid w:val="73986C88"/>
    <w:rsid w:val="73997330"/>
    <w:rsid w:val="739A1DA8"/>
    <w:rsid w:val="73B726CD"/>
    <w:rsid w:val="73C1064C"/>
    <w:rsid w:val="73C60A71"/>
    <w:rsid w:val="73CE5639"/>
    <w:rsid w:val="73D47B3C"/>
    <w:rsid w:val="73DB7AD4"/>
    <w:rsid w:val="73ED2953"/>
    <w:rsid w:val="74031BB9"/>
    <w:rsid w:val="740466DC"/>
    <w:rsid w:val="74067871"/>
    <w:rsid w:val="741431ED"/>
    <w:rsid w:val="74257716"/>
    <w:rsid w:val="74286A13"/>
    <w:rsid w:val="742A357B"/>
    <w:rsid w:val="742C1234"/>
    <w:rsid w:val="742C709B"/>
    <w:rsid w:val="74345C58"/>
    <w:rsid w:val="7435449A"/>
    <w:rsid w:val="74356F12"/>
    <w:rsid w:val="74357E18"/>
    <w:rsid w:val="743712FF"/>
    <w:rsid w:val="74444138"/>
    <w:rsid w:val="744E33B2"/>
    <w:rsid w:val="746251F1"/>
    <w:rsid w:val="74710E40"/>
    <w:rsid w:val="747D7AC1"/>
    <w:rsid w:val="747F0AED"/>
    <w:rsid w:val="748248F7"/>
    <w:rsid w:val="74925617"/>
    <w:rsid w:val="74933CAE"/>
    <w:rsid w:val="749A0EBA"/>
    <w:rsid w:val="74A332E8"/>
    <w:rsid w:val="74A87733"/>
    <w:rsid w:val="74AB58E2"/>
    <w:rsid w:val="74B14470"/>
    <w:rsid w:val="74B24264"/>
    <w:rsid w:val="74B5458D"/>
    <w:rsid w:val="74B87419"/>
    <w:rsid w:val="74BB5DD8"/>
    <w:rsid w:val="74C2410C"/>
    <w:rsid w:val="74C77F8F"/>
    <w:rsid w:val="74CE1338"/>
    <w:rsid w:val="74D31F93"/>
    <w:rsid w:val="74D32F5C"/>
    <w:rsid w:val="74D63812"/>
    <w:rsid w:val="74E05742"/>
    <w:rsid w:val="74ED29DF"/>
    <w:rsid w:val="74EF7A88"/>
    <w:rsid w:val="74F41B3F"/>
    <w:rsid w:val="74F50FFB"/>
    <w:rsid w:val="75023806"/>
    <w:rsid w:val="75042D00"/>
    <w:rsid w:val="75123603"/>
    <w:rsid w:val="75132BF0"/>
    <w:rsid w:val="75170168"/>
    <w:rsid w:val="75171CB7"/>
    <w:rsid w:val="75181D0C"/>
    <w:rsid w:val="75251CA6"/>
    <w:rsid w:val="75281AEC"/>
    <w:rsid w:val="75301753"/>
    <w:rsid w:val="7532556C"/>
    <w:rsid w:val="753567C4"/>
    <w:rsid w:val="75365208"/>
    <w:rsid w:val="753C4DB8"/>
    <w:rsid w:val="753C6BC5"/>
    <w:rsid w:val="75421DFC"/>
    <w:rsid w:val="75433C2C"/>
    <w:rsid w:val="7548597E"/>
    <w:rsid w:val="754C634A"/>
    <w:rsid w:val="75555E70"/>
    <w:rsid w:val="755F251B"/>
    <w:rsid w:val="75653B97"/>
    <w:rsid w:val="756F65C9"/>
    <w:rsid w:val="75702870"/>
    <w:rsid w:val="75787EF4"/>
    <w:rsid w:val="757C3C65"/>
    <w:rsid w:val="7587099D"/>
    <w:rsid w:val="758777A3"/>
    <w:rsid w:val="758E76C8"/>
    <w:rsid w:val="758F6DF0"/>
    <w:rsid w:val="759E030C"/>
    <w:rsid w:val="75A03F8B"/>
    <w:rsid w:val="75A06766"/>
    <w:rsid w:val="75A30B3B"/>
    <w:rsid w:val="75C17683"/>
    <w:rsid w:val="75C350AF"/>
    <w:rsid w:val="75C9314B"/>
    <w:rsid w:val="75CA074E"/>
    <w:rsid w:val="75CB0B38"/>
    <w:rsid w:val="75CD7A9E"/>
    <w:rsid w:val="75D32380"/>
    <w:rsid w:val="75DF2ADE"/>
    <w:rsid w:val="75E97CBC"/>
    <w:rsid w:val="75EE00D3"/>
    <w:rsid w:val="75EE58BE"/>
    <w:rsid w:val="75EF0432"/>
    <w:rsid w:val="75F04EA5"/>
    <w:rsid w:val="75F06842"/>
    <w:rsid w:val="75FA4762"/>
    <w:rsid w:val="75FD1F7D"/>
    <w:rsid w:val="760237BA"/>
    <w:rsid w:val="760D12B7"/>
    <w:rsid w:val="760F6998"/>
    <w:rsid w:val="761749B7"/>
    <w:rsid w:val="76256F6A"/>
    <w:rsid w:val="762B5ACD"/>
    <w:rsid w:val="762C381A"/>
    <w:rsid w:val="7630234F"/>
    <w:rsid w:val="76332EAC"/>
    <w:rsid w:val="7637209D"/>
    <w:rsid w:val="763B4D57"/>
    <w:rsid w:val="763B5D3F"/>
    <w:rsid w:val="76483D86"/>
    <w:rsid w:val="764B7051"/>
    <w:rsid w:val="765648F4"/>
    <w:rsid w:val="765A3590"/>
    <w:rsid w:val="76612D90"/>
    <w:rsid w:val="76626271"/>
    <w:rsid w:val="7666207D"/>
    <w:rsid w:val="766942BF"/>
    <w:rsid w:val="766C61CA"/>
    <w:rsid w:val="766D6607"/>
    <w:rsid w:val="76737AA9"/>
    <w:rsid w:val="767A4A88"/>
    <w:rsid w:val="76854525"/>
    <w:rsid w:val="76870716"/>
    <w:rsid w:val="768973AD"/>
    <w:rsid w:val="769A164A"/>
    <w:rsid w:val="769F1DC9"/>
    <w:rsid w:val="76B816B9"/>
    <w:rsid w:val="76C44652"/>
    <w:rsid w:val="76C813E0"/>
    <w:rsid w:val="76C8567E"/>
    <w:rsid w:val="76CD0DF0"/>
    <w:rsid w:val="76D1758E"/>
    <w:rsid w:val="76D24C22"/>
    <w:rsid w:val="76D86985"/>
    <w:rsid w:val="76E11B94"/>
    <w:rsid w:val="76E3500A"/>
    <w:rsid w:val="76EA4473"/>
    <w:rsid w:val="76F024C5"/>
    <w:rsid w:val="76F76B05"/>
    <w:rsid w:val="76F827C9"/>
    <w:rsid w:val="76F96944"/>
    <w:rsid w:val="76FC5DDE"/>
    <w:rsid w:val="76FE3C5F"/>
    <w:rsid w:val="770275D7"/>
    <w:rsid w:val="77030991"/>
    <w:rsid w:val="770501C8"/>
    <w:rsid w:val="770B2DFA"/>
    <w:rsid w:val="771528B0"/>
    <w:rsid w:val="771530F6"/>
    <w:rsid w:val="77196399"/>
    <w:rsid w:val="772565F0"/>
    <w:rsid w:val="7730775E"/>
    <w:rsid w:val="77334B63"/>
    <w:rsid w:val="77360801"/>
    <w:rsid w:val="77373A04"/>
    <w:rsid w:val="773960CB"/>
    <w:rsid w:val="773B38CD"/>
    <w:rsid w:val="773D3CA2"/>
    <w:rsid w:val="7745379C"/>
    <w:rsid w:val="77472D2E"/>
    <w:rsid w:val="77482E3E"/>
    <w:rsid w:val="774C0D39"/>
    <w:rsid w:val="774C27C9"/>
    <w:rsid w:val="77506686"/>
    <w:rsid w:val="77533618"/>
    <w:rsid w:val="77543701"/>
    <w:rsid w:val="7756014A"/>
    <w:rsid w:val="775C5437"/>
    <w:rsid w:val="7761138A"/>
    <w:rsid w:val="77633F93"/>
    <w:rsid w:val="776B154C"/>
    <w:rsid w:val="7773745F"/>
    <w:rsid w:val="7777787F"/>
    <w:rsid w:val="77796EEC"/>
    <w:rsid w:val="77850779"/>
    <w:rsid w:val="778516FD"/>
    <w:rsid w:val="7786558A"/>
    <w:rsid w:val="7788682A"/>
    <w:rsid w:val="779112DE"/>
    <w:rsid w:val="779301B8"/>
    <w:rsid w:val="779872B1"/>
    <w:rsid w:val="779D7457"/>
    <w:rsid w:val="77A44EBD"/>
    <w:rsid w:val="77A8110F"/>
    <w:rsid w:val="77AF3A2E"/>
    <w:rsid w:val="77B07BBA"/>
    <w:rsid w:val="77B5648C"/>
    <w:rsid w:val="77B9258D"/>
    <w:rsid w:val="77BE1DAC"/>
    <w:rsid w:val="77C257BC"/>
    <w:rsid w:val="77CE29F9"/>
    <w:rsid w:val="77D775BF"/>
    <w:rsid w:val="77D96AB5"/>
    <w:rsid w:val="77DF7CE9"/>
    <w:rsid w:val="77E22697"/>
    <w:rsid w:val="77EA35E1"/>
    <w:rsid w:val="77EB7F50"/>
    <w:rsid w:val="77EC3FBC"/>
    <w:rsid w:val="77EF5ABA"/>
    <w:rsid w:val="77F51729"/>
    <w:rsid w:val="77F72172"/>
    <w:rsid w:val="77F77EF1"/>
    <w:rsid w:val="77F9042D"/>
    <w:rsid w:val="77F94BB7"/>
    <w:rsid w:val="77FA0AD2"/>
    <w:rsid w:val="780C2F64"/>
    <w:rsid w:val="781867E2"/>
    <w:rsid w:val="78193498"/>
    <w:rsid w:val="781C3BA1"/>
    <w:rsid w:val="781C4D65"/>
    <w:rsid w:val="781C6F90"/>
    <w:rsid w:val="781D47E8"/>
    <w:rsid w:val="781E1E00"/>
    <w:rsid w:val="783626E6"/>
    <w:rsid w:val="7837685E"/>
    <w:rsid w:val="78377FA9"/>
    <w:rsid w:val="783A0870"/>
    <w:rsid w:val="783B6DBD"/>
    <w:rsid w:val="783E1895"/>
    <w:rsid w:val="784620E0"/>
    <w:rsid w:val="784F47D0"/>
    <w:rsid w:val="78511E20"/>
    <w:rsid w:val="78541BC8"/>
    <w:rsid w:val="785E388F"/>
    <w:rsid w:val="785E4E83"/>
    <w:rsid w:val="785E5E13"/>
    <w:rsid w:val="78643585"/>
    <w:rsid w:val="78710197"/>
    <w:rsid w:val="787448C0"/>
    <w:rsid w:val="78747102"/>
    <w:rsid w:val="787725DC"/>
    <w:rsid w:val="78820E48"/>
    <w:rsid w:val="788A7F54"/>
    <w:rsid w:val="788D375A"/>
    <w:rsid w:val="788D5535"/>
    <w:rsid w:val="78901DC0"/>
    <w:rsid w:val="78903380"/>
    <w:rsid w:val="78A51294"/>
    <w:rsid w:val="78AD39E6"/>
    <w:rsid w:val="78AD74DA"/>
    <w:rsid w:val="78AF627C"/>
    <w:rsid w:val="78B234C0"/>
    <w:rsid w:val="78B305BE"/>
    <w:rsid w:val="78B44166"/>
    <w:rsid w:val="78B81CD5"/>
    <w:rsid w:val="78C85BAF"/>
    <w:rsid w:val="78CE556C"/>
    <w:rsid w:val="78D3268E"/>
    <w:rsid w:val="78D62DFE"/>
    <w:rsid w:val="78E1483A"/>
    <w:rsid w:val="78E37682"/>
    <w:rsid w:val="78E76F00"/>
    <w:rsid w:val="78EA18B5"/>
    <w:rsid w:val="78F62197"/>
    <w:rsid w:val="78F7221A"/>
    <w:rsid w:val="78FE053E"/>
    <w:rsid w:val="790025E2"/>
    <w:rsid w:val="790B5F0B"/>
    <w:rsid w:val="790D487D"/>
    <w:rsid w:val="79151897"/>
    <w:rsid w:val="791B4E53"/>
    <w:rsid w:val="791D46F4"/>
    <w:rsid w:val="791D48AF"/>
    <w:rsid w:val="791E741C"/>
    <w:rsid w:val="792065AB"/>
    <w:rsid w:val="79307D50"/>
    <w:rsid w:val="793369BB"/>
    <w:rsid w:val="793601CF"/>
    <w:rsid w:val="79376357"/>
    <w:rsid w:val="79384D4E"/>
    <w:rsid w:val="793A316F"/>
    <w:rsid w:val="793C3AEC"/>
    <w:rsid w:val="794A6436"/>
    <w:rsid w:val="79564C04"/>
    <w:rsid w:val="79590CAE"/>
    <w:rsid w:val="795A2E33"/>
    <w:rsid w:val="795F4C9D"/>
    <w:rsid w:val="79624FD9"/>
    <w:rsid w:val="79712D4E"/>
    <w:rsid w:val="79763D1D"/>
    <w:rsid w:val="797E10F3"/>
    <w:rsid w:val="79811ABB"/>
    <w:rsid w:val="798F456F"/>
    <w:rsid w:val="798F6EB8"/>
    <w:rsid w:val="799153C2"/>
    <w:rsid w:val="7991577C"/>
    <w:rsid w:val="799A7B72"/>
    <w:rsid w:val="799C504E"/>
    <w:rsid w:val="79A27193"/>
    <w:rsid w:val="79A758AB"/>
    <w:rsid w:val="79A846F2"/>
    <w:rsid w:val="79AB776D"/>
    <w:rsid w:val="79AB7D2B"/>
    <w:rsid w:val="79AC5A81"/>
    <w:rsid w:val="79AD2084"/>
    <w:rsid w:val="79B12FF1"/>
    <w:rsid w:val="79B33844"/>
    <w:rsid w:val="79B93FD8"/>
    <w:rsid w:val="79C435AC"/>
    <w:rsid w:val="79CC0C3A"/>
    <w:rsid w:val="79CF4BFF"/>
    <w:rsid w:val="79D16243"/>
    <w:rsid w:val="79D50F48"/>
    <w:rsid w:val="79E11455"/>
    <w:rsid w:val="79E41EDC"/>
    <w:rsid w:val="79E6269B"/>
    <w:rsid w:val="79EB1CE3"/>
    <w:rsid w:val="79EE06F4"/>
    <w:rsid w:val="79F2416A"/>
    <w:rsid w:val="79F84592"/>
    <w:rsid w:val="79FE1010"/>
    <w:rsid w:val="7A02233A"/>
    <w:rsid w:val="7A053B1A"/>
    <w:rsid w:val="7A093A4B"/>
    <w:rsid w:val="7A0B144C"/>
    <w:rsid w:val="7A1416A2"/>
    <w:rsid w:val="7A16761A"/>
    <w:rsid w:val="7A187AFA"/>
    <w:rsid w:val="7A227656"/>
    <w:rsid w:val="7A2B6BFC"/>
    <w:rsid w:val="7A3446B9"/>
    <w:rsid w:val="7A361730"/>
    <w:rsid w:val="7A362DF3"/>
    <w:rsid w:val="7A3D1CBD"/>
    <w:rsid w:val="7A405827"/>
    <w:rsid w:val="7A456EBC"/>
    <w:rsid w:val="7A4E066B"/>
    <w:rsid w:val="7A570F48"/>
    <w:rsid w:val="7A583305"/>
    <w:rsid w:val="7A5D635F"/>
    <w:rsid w:val="7A5D7C0F"/>
    <w:rsid w:val="7A690AA4"/>
    <w:rsid w:val="7A6A4C01"/>
    <w:rsid w:val="7A6D2D87"/>
    <w:rsid w:val="7A6E61D1"/>
    <w:rsid w:val="7A716384"/>
    <w:rsid w:val="7A771A92"/>
    <w:rsid w:val="7A7C3C48"/>
    <w:rsid w:val="7A7D7F35"/>
    <w:rsid w:val="7A7E0F7C"/>
    <w:rsid w:val="7A8141B4"/>
    <w:rsid w:val="7A8608DA"/>
    <w:rsid w:val="7A866B65"/>
    <w:rsid w:val="7A8F0F06"/>
    <w:rsid w:val="7A9D6FA9"/>
    <w:rsid w:val="7AA56371"/>
    <w:rsid w:val="7AA611AD"/>
    <w:rsid w:val="7AAC5163"/>
    <w:rsid w:val="7AAE32EE"/>
    <w:rsid w:val="7AB64B7F"/>
    <w:rsid w:val="7AB83998"/>
    <w:rsid w:val="7AC2497D"/>
    <w:rsid w:val="7AC42F0A"/>
    <w:rsid w:val="7AC5710A"/>
    <w:rsid w:val="7AC74A32"/>
    <w:rsid w:val="7AC837B2"/>
    <w:rsid w:val="7AD556C6"/>
    <w:rsid w:val="7AD96F57"/>
    <w:rsid w:val="7ADA240E"/>
    <w:rsid w:val="7ADC1120"/>
    <w:rsid w:val="7AE3374D"/>
    <w:rsid w:val="7AE60410"/>
    <w:rsid w:val="7AE8068F"/>
    <w:rsid w:val="7AEF0F59"/>
    <w:rsid w:val="7AFC6C61"/>
    <w:rsid w:val="7B043257"/>
    <w:rsid w:val="7B0618AA"/>
    <w:rsid w:val="7B0C6C47"/>
    <w:rsid w:val="7B100134"/>
    <w:rsid w:val="7B140C18"/>
    <w:rsid w:val="7B1706DA"/>
    <w:rsid w:val="7B17772E"/>
    <w:rsid w:val="7B237C2D"/>
    <w:rsid w:val="7B2619BD"/>
    <w:rsid w:val="7B3A77A1"/>
    <w:rsid w:val="7B3D2232"/>
    <w:rsid w:val="7B4406CF"/>
    <w:rsid w:val="7B472CD9"/>
    <w:rsid w:val="7B496619"/>
    <w:rsid w:val="7B4E6C21"/>
    <w:rsid w:val="7B532F9B"/>
    <w:rsid w:val="7B571D54"/>
    <w:rsid w:val="7B687B46"/>
    <w:rsid w:val="7B695ADD"/>
    <w:rsid w:val="7B6B0E01"/>
    <w:rsid w:val="7B6D57C8"/>
    <w:rsid w:val="7B7A2672"/>
    <w:rsid w:val="7B7B0185"/>
    <w:rsid w:val="7B8072BD"/>
    <w:rsid w:val="7B857DFD"/>
    <w:rsid w:val="7B872BC1"/>
    <w:rsid w:val="7B8C1FCE"/>
    <w:rsid w:val="7B992F68"/>
    <w:rsid w:val="7BAA2194"/>
    <w:rsid w:val="7BB345C7"/>
    <w:rsid w:val="7BB500D3"/>
    <w:rsid w:val="7BB636DB"/>
    <w:rsid w:val="7BC932E9"/>
    <w:rsid w:val="7BCD6FDB"/>
    <w:rsid w:val="7BDC2553"/>
    <w:rsid w:val="7BE07191"/>
    <w:rsid w:val="7BED6ADF"/>
    <w:rsid w:val="7BEF1EAE"/>
    <w:rsid w:val="7BF3470B"/>
    <w:rsid w:val="7BF62672"/>
    <w:rsid w:val="7BF901C4"/>
    <w:rsid w:val="7BFB0E2E"/>
    <w:rsid w:val="7C016337"/>
    <w:rsid w:val="7C04726C"/>
    <w:rsid w:val="7C0E793C"/>
    <w:rsid w:val="7C1208C1"/>
    <w:rsid w:val="7C15330B"/>
    <w:rsid w:val="7C165BEA"/>
    <w:rsid w:val="7C1667CF"/>
    <w:rsid w:val="7C2F311D"/>
    <w:rsid w:val="7C305EFA"/>
    <w:rsid w:val="7C334A84"/>
    <w:rsid w:val="7C3369FF"/>
    <w:rsid w:val="7C351903"/>
    <w:rsid w:val="7C3E735D"/>
    <w:rsid w:val="7C4B3003"/>
    <w:rsid w:val="7C5D4742"/>
    <w:rsid w:val="7C601E4C"/>
    <w:rsid w:val="7C626271"/>
    <w:rsid w:val="7C685003"/>
    <w:rsid w:val="7C685B0C"/>
    <w:rsid w:val="7C690301"/>
    <w:rsid w:val="7C693034"/>
    <w:rsid w:val="7C7902AE"/>
    <w:rsid w:val="7C7B1F49"/>
    <w:rsid w:val="7C7C6F89"/>
    <w:rsid w:val="7C7F6948"/>
    <w:rsid w:val="7C80382D"/>
    <w:rsid w:val="7C877E9D"/>
    <w:rsid w:val="7C951CC1"/>
    <w:rsid w:val="7C961B41"/>
    <w:rsid w:val="7C997A79"/>
    <w:rsid w:val="7C9F7C7D"/>
    <w:rsid w:val="7CA16E24"/>
    <w:rsid w:val="7CA30865"/>
    <w:rsid w:val="7CA60C33"/>
    <w:rsid w:val="7CAC1629"/>
    <w:rsid w:val="7CB35FB5"/>
    <w:rsid w:val="7CB4253C"/>
    <w:rsid w:val="7CBA0D91"/>
    <w:rsid w:val="7CBB20D6"/>
    <w:rsid w:val="7CBF5809"/>
    <w:rsid w:val="7CC34013"/>
    <w:rsid w:val="7CCB57A0"/>
    <w:rsid w:val="7CCF11F6"/>
    <w:rsid w:val="7CDE12A5"/>
    <w:rsid w:val="7CE55608"/>
    <w:rsid w:val="7D0D6C1E"/>
    <w:rsid w:val="7D1039D9"/>
    <w:rsid w:val="7D130DE6"/>
    <w:rsid w:val="7D1E3983"/>
    <w:rsid w:val="7D1F00CD"/>
    <w:rsid w:val="7D2029E6"/>
    <w:rsid w:val="7D217D1F"/>
    <w:rsid w:val="7D230509"/>
    <w:rsid w:val="7D2B1D99"/>
    <w:rsid w:val="7D2F69F2"/>
    <w:rsid w:val="7D3153D7"/>
    <w:rsid w:val="7D3B35AF"/>
    <w:rsid w:val="7D44284B"/>
    <w:rsid w:val="7D482282"/>
    <w:rsid w:val="7D57102F"/>
    <w:rsid w:val="7D630FC1"/>
    <w:rsid w:val="7D651270"/>
    <w:rsid w:val="7D6608BE"/>
    <w:rsid w:val="7D6A0582"/>
    <w:rsid w:val="7D6B57A6"/>
    <w:rsid w:val="7D717DD6"/>
    <w:rsid w:val="7D721427"/>
    <w:rsid w:val="7D766241"/>
    <w:rsid w:val="7D7E3FD4"/>
    <w:rsid w:val="7D863491"/>
    <w:rsid w:val="7D8D6636"/>
    <w:rsid w:val="7D906B83"/>
    <w:rsid w:val="7D9B6842"/>
    <w:rsid w:val="7D9E0665"/>
    <w:rsid w:val="7D9E113D"/>
    <w:rsid w:val="7D9F4CC5"/>
    <w:rsid w:val="7DA3153F"/>
    <w:rsid w:val="7DB16A46"/>
    <w:rsid w:val="7DB367E9"/>
    <w:rsid w:val="7DB85DFF"/>
    <w:rsid w:val="7DC878F9"/>
    <w:rsid w:val="7DCE406F"/>
    <w:rsid w:val="7DD34B2B"/>
    <w:rsid w:val="7DDA48D0"/>
    <w:rsid w:val="7DDD7A92"/>
    <w:rsid w:val="7DDF04F8"/>
    <w:rsid w:val="7DF5511C"/>
    <w:rsid w:val="7DF66007"/>
    <w:rsid w:val="7DF756B6"/>
    <w:rsid w:val="7DFE205F"/>
    <w:rsid w:val="7E021F6E"/>
    <w:rsid w:val="7E1414EA"/>
    <w:rsid w:val="7E16020C"/>
    <w:rsid w:val="7E1745F3"/>
    <w:rsid w:val="7E1F4C2E"/>
    <w:rsid w:val="7E2925C4"/>
    <w:rsid w:val="7E2E6F29"/>
    <w:rsid w:val="7E3B75AA"/>
    <w:rsid w:val="7E3D04C4"/>
    <w:rsid w:val="7E442A1C"/>
    <w:rsid w:val="7E481E1B"/>
    <w:rsid w:val="7E605E66"/>
    <w:rsid w:val="7E6C77F5"/>
    <w:rsid w:val="7E82232F"/>
    <w:rsid w:val="7E917844"/>
    <w:rsid w:val="7E9D2CB8"/>
    <w:rsid w:val="7E9F193D"/>
    <w:rsid w:val="7EA05082"/>
    <w:rsid w:val="7EA518CF"/>
    <w:rsid w:val="7EB6638D"/>
    <w:rsid w:val="7EB80204"/>
    <w:rsid w:val="7EBF25CB"/>
    <w:rsid w:val="7EC01A20"/>
    <w:rsid w:val="7EC0471A"/>
    <w:rsid w:val="7ECD425E"/>
    <w:rsid w:val="7EE55ED5"/>
    <w:rsid w:val="7EE974E0"/>
    <w:rsid w:val="7EEF0C9B"/>
    <w:rsid w:val="7EF40467"/>
    <w:rsid w:val="7F1768E0"/>
    <w:rsid w:val="7F221528"/>
    <w:rsid w:val="7F2758F9"/>
    <w:rsid w:val="7F3170F5"/>
    <w:rsid w:val="7F45269E"/>
    <w:rsid w:val="7F614D6B"/>
    <w:rsid w:val="7F615B82"/>
    <w:rsid w:val="7F766E68"/>
    <w:rsid w:val="7F7961C8"/>
    <w:rsid w:val="7F8120E3"/>
    <w:rsid w:val="7F8153B4"/>
    <w:rsid w:val="7F863C13"/>
    <w:rsid w:val="7F8A0609"/>
    <w:rsid w:val="7F8D34AD"/>
    <w:rsid w:val="7F9114F8"/>
    <w:rsid w:val="7F917268"/>
    <w:rsid w:val="7F985C88"/>
    <w:rsid w:val="7F9C5624"/>
    <w:rsid w:val="7F9D3C4D"/>
    <w:rsid w:val="7F9F3C64"/>
    <w:rsid w:val="7FA51353"/>
    <w:rsid w:val="7FA552C2"/>
    <w:rsid w:val="7FA76F26"/>
    <w:rsid w:val="7FA930C2"/>
    <w:rsid w:val="7FAC63C5"/>
    <w:rsid w:val="7FB40C86"/>
    <w:rsid w:val="7FB76FBB"/>
    <w:rsid w:val="7FBE3155"/>
    <w:rsid w:val="7FC1531F"/>
    <w:rsid w:val="7FCA11D5"/>
    <w:rsid w:val="7FCB3CB6"/>
    <w:rsid w:val="7FD74F43"/>
    <w:rsid w:val="7FDC1348"/>
    <w:rsid w:val="7FE80B25"/>
    <w:rsid w:val="7FE9425B"/>
    <w:rsid w:val="7FEA554D"/>
    <w:rsid w:val="7FEE326D"/>
    <w:rsid w:val="7FF05B5C"/>
    <w:rsid w:val="7FF107D2"/>
    <w:rsid w:val="7FF3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20"/>
    <w:qFormat/>
    <w:uiPriority w:val="1"/>
    <w:pPr>
      <w:spacing w:before="50"/>
      <w:ind w:right="255"/>
      <w:jc w:val="center"/>
      <w:outlineLvl w:val="0"/>
    </w:pPr>
    <w:rPr>
      <w:b/>
      <w:bCs/>
      <w:sz w:val="36"/>
      <w:szCs w:val="36"/>
    </w:rPr>
  </w:style>
  <w:style w:type="paragraph" w:styleId="4">
    <w:name w:val="heading 2"/>
    <w:basedOn w:val="1"/>
    <w:next w:val="1"/>
    <w:link w:val="23"/>
    <w:qFormat/>
    <w:uiPriority w:val="1"/>
    <w:pPr>
      <w:spacing w:before="54"/>
      <w:ind w:left="231"/>
      <w:outlineLvl w:val="1"/>
    </w:pPr>
    <w:rPr>
      <w:rFonts w:ascii="黑体" w:hAnsi="黑体" w:eastAsia="黑体" w:cs="黑体"/>
      <w:sz w:val="32"/>
      <w:szCs w:val="32"/>
    </w:rPr>
  </w:style>
  <w:style w:type="paragraph" w:styleId="5">
    <w:name w:val="heading 3"/>
    <w:basedOn w:val="1"/>
    <w:next w:val="1"/>
    <w:link w:val="24"/>
    <w:qFormat/>
    <w:uiPriority w:val="1"/>
    <w:pPr>
      <w:ind w:right="257"/>
      <w:jc w:val="center"/>
      <w:outlineLvl w:val="2"/>
    </w:pPr>
    <w:rPr>
      <w:b/>
      <w:bCs/>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27"/>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7">
    <w:name w:val="Body Text"/>
    <w:basedOn w:val="1"/>
    <w:link w:val="25"/>
    <w:qFormat/>
    <w:uiPriority w:val="1"/>
    <w:pPr>
      <w:ind w:left="231"/>
    </w:pPr>
    <w:rPr>
      <w:sz w:val="30"/>
      <w:szCs w:val="30"/>
    </w:rPr>
  </w:style>
  <w:style w:type="paragraph" w:styleId="8">
    <w:name w:val="Balloon Text"/>
    <w:basedOn w:val="1"/>
    <w:link w:val="26"/>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96"/>
      <w:ind w:right="491"/>
      <w:jc w:val="right"/>
    </w:pPr>
    <w:rPr>
      <w:sz w:val="30"/>
      <w:szCs w:val="30"/>
    </w:rPr>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231" w:firstLine="600"/>
    </w:pPr>
  </w:style>
  <w:style w:type="paragraph" w:customStyle="1" w:styleId="19">
    <w:name w:val="Table Paragraph"/>
    <w:basedOn w:val="1"/>
    <w:qFormat/>
    <w:uiPriority w:val="1"/>
  </w:style>
  <w:style w:type="character" w:customStyle="1" w:styleId="20">
    <w:name w:val="标题 1 Char"/>
    <w:basedOn w:val="15"/>
    <w:link w:val="3"/>
    <w:qFormat/>
    <w:uiPriority w:val="1"/>
    <w:rPr>
      <w:rFonts w:ascii="仿宋" w:hAnsi="仿宋" w:eastAsia="仿宋" w:cs="仿宋"/>
      <w:b/>
      <w:bCs/>
      <w:sz w:val="36"/>
      <w:szCs w:val="36"/>
      <w:lang w:val="zh-CN" w:eastAsia="zh-CN" w:bidi="zh-CN"/>
    </w:rPr>
  </w:style>
  <w:style w:type="character" w:customStyle="1" w:styleId="21">
    <w:name w:val="页眉 Char"/>
    <w:basedOn w:val="15"/>
    <w:link w:val="10"/>
    <w:qFormat/>
    <w:uiPriority w:val="99"/>
    <w:rPr>
      <w:rFonts w:ascii="仿宋" w:hAnsi="仿宋" w:eastAsia="仿宋" w:cs="仿宋"/>
      <w:sz w:val="18"/>
      <w:szCs w:val="18"/>
      <w:lang w:val="zh-CN" w:eastAsia="zh-CN" w:bidi="zh-CN"/>
    </w:rPr>
  </w:style>
  <w:style w:type="character" w:customStyle="1" w:styleId="22">
    <w:name w:val="页脚 Char"/>
    <w:basedOn w:val="15"/>
    <w:link w:val="9"/>
    <w:qFormat/>
    <w:uiPriority w:val="99"/>
    <w:rPr>
      <w:rFonts w:ascii="仿宋" w:hAnsi="仿宋" w:eastAsia="仿宋" w:cs="仿宋"/>
      <w:sz w:val="18"/>
      <w:szCs w:val="18"/>
      <w:lang w:val="zh-CN" w:eastAsia="zh-CN" w:bidi="zh-CN"/>
    </w:rPr>
  </w:style>
  <w:style w:type="character" w:customStyle="1" w:styleId="23">
    <w:name w:val="标题 2 Char"/>
    <w:basedOn w:val="15"/>
    <w:link w:val="4"/>
    <w:qFormat/>
    <w:uiPriority w:val="1"/>
    <w:rPr>
      <w:rFonts w:ascii="黑体" w:hAnsi="黑体" w:eastAsia="黑体" w:cs="黑体"/>
      <w:sz w:val="32"/>
      <w:szCs w:val="32"/>
      <w:lang w:val="zh-CN" w:eastAsia="zh-CN" w:bidi="zh-CN"/>
    </w:rPr>
  </w:style>
  <w:style w:type="character" w:customStyle="1" w:styleId="24">
    <w:name w:val="标题 3 Char"/>
    <w:basedOn w:val="15"/>
    <w:link w:val="5"/>
    <w:qFormat/>
    <w:uiPriority w:val="1"/>
    <w:rPr>
      <w:rFonts w:ascii="仿宋" w:hAnsi="仿宋" w:eastAsia="仿宋" w:cs="仿宋"/>
      <w:b/>
      <w:bCs/>
      <w:sz w:val="30"/>
      <w:szCs w:val="30"/>
      <w:lang w:val="zh-CN" w:eastAsia="zh-CN" w:bidi="zh-CN"/>
    </w:rPr>
  </w:style>
  <w:style w:type="character" w:customStyle="1" w:styleId="25">
    <w:name w:val="正文文本 Char"/>
    <w:basedOn w:val="15"/>
    <w:link w:val="7"/>
    <w:qFormat/>
    <w:uiPriority w:val="1"/>
    <w:rPr>
      <w:rFonts w:ascii="仿宋" w:hAnsi="仿宋" w:eastAsia="仿宋" w:cs="仿宋"/>
      <w:sz w:val="30"/>
      <w:szCs w:val="30"/>
      <w:lang w:val="zh-CN" w:eastAsia="zh-CN" w:bidi="zh-CN"/>
    </w:rPr>
  </w:style>
  <w:style w:type="character" w:customStyle="1" w:styleId="26">
    <w:name w:val="批注框文本 Char"/>
    <w:basedOn w:val="15"/>
    <w:link w:val="8"/>
    <w:semiHidden/>
    <w:qFormat/>
    <w:uiPriority w:val="99"/>
    <w:rPr>
      <w:rFonts w:ascii="仿宋" w:hAnsi="仿宋" w:eastAsia="仿宋" w:cs="仿宋"/>
      <w:sz w:val="18"/>
      <w:szCs w:val="18"/>
      <w:lang w:val="zh-CN" w:eastAsia="zh-CN" w:bidi="zh-CN"/>
    </w:rPr>
  </w:style>
  <w:style w:type="character" w:customStyle="1" w:styleId="27">
    <w:name w:val="批注文字 Char"/>
    <w:basedOn w:val="15"/>
    <w:link w:val="6"/>
    <w:qFormat/>
    <w:uiPriority w:val="99"/>
    <w:rPr>
      <w:rFonts w:ascii="华文宋体" w:hAnsi="华文宋体" w:eastAsia="华文宋体" w:cs="华文宋体"/>
      <w:color w:val="000000"/>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A9F37-296E-46C3-BE99-38E5BE0EE7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2649</Words>
  <Characters>15104</Characters>
  <Lines>125</Lines>
  <Paragraphs>35</Paragraphs>
  <TotalTime>3</TotalTime>
  <ScaleCrop>false</ScaleCrop>
  <LinksUpToDate>false</LinksUpToDate>
  <CharactersWithSpaces>17718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2021-03-27T07:25:00Z</dcterms:created>
  <dc:creator>Lenovo</dc:creator>
  <cp:lastModifiedBy>惬惬</cp:lastModifiedBy>
  <cp:lastPrinted>2021-07-16T09:12:00Z</cp:lastPrinted>
  <dcterms:modified xsi:type="dcterms:W3CDTF">2021-07-17T12:36:31Z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2052-11.1.0.10314</vt:lpwstr>
  </property>
  <property fmtid="{D5CDD505-2E9C-101B-9397-08002B2CF9AE}" pid="6" name="ICV">
    <vt:lpwstr>2693A574FC0143E3842289A90A8649D3</vt:lpwstr>
  </property>
  <property fmtid="{D5CDD505-2E9C-101B-9397-08002B2CF9AE}" pid="7" name="ribbonExt">
    <vt:lpwstr>{"WPSExtOfficeTab":{"OnGetEnabled":false,"OnGetVisible":false}}</vt:lpwstr>
  </property>
</Properties>
</file>