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rPr>
          <w:rFonts w:hint="eastAsia" w:ascii="Times New Roman"/>
          <w:sz w:val="20"/>
        </w:rPr>
      </w:pPr>
    </w:p>
    <w:p>
      <w:pPr>
        <w:pStyle w:val="7"/>
        <w:ind w:left="0"/>
        <w:rPr>
          <w:rFonts w:ascii="Times New Roman"/>
          <w:sz w:val="20"/>
        </w:rPr>
      </w:pPr>
    </w:p>
    <w:p>
      <w:pPr>
        <w:pStyle w:val="7"/>
        <w:ind w:left="0"/>
        <w:rPr>
          <w:rFonts w:ascii="Times New Roman"/>
          <w:sz w:val="20"/>
        </w:rPr>
      </w:pPr>
    </w:p>
    <w:p>
      <w:pPr>
        <w:pStyle w:val="7"/>
        <w:ind w:left="0"/>
        <w:rPr>
          <w:rFonts w:ascii="Times New Roman"/>
          <w:sz w:val="20"/>
        </w:rPr>
      </w:pPr>
    </w:p>
    <w:p>
      <w:pPr>
        <w:pStyle w:val="7"/>
        <w:ind w:left="0"/>
        <w:rPr>
          <w:rFonts w:ascii="Times New Roman"/>
          <w:sz w:val="20"/>
        </w:rPr>
      </w:pPr>
    </w:p>
    <w:p>
      <w:pPr>
        <w:pStyle w:val="7"/>
        <w:ind w:left="0"/>
        <w:rPr>
          <w:rFonts w:ascii="Times New Roman"/>
          <w:sz w:val="20"/>
          <w:lang w:val="en-US"/>
        </w:rPr>
      </w:pPr>
      <w:r>
        <w:rPr>
          <w:rFonts w:hint="eastAsia" w:ascii="Times New Roman"/>
          <w:sz w:val="20"/>
          <w:lang w:val="en-US"/>
        </w:rPr>
        <w:t xml:space="preserve"> </w:t>
      </w:r>
    </w:p>
    <w:p>
      <w:pPr>
        <w:pStyle w:val="7"/>
        <w:ind w:left="0"/>
        <w:rPr>
          <w:rFonts w:ascii="Times New Roman"/>
          <w:sz w:val="20"/>
        </w:rPr>
      </w:pPr>
    </w:p>
    <w:p>
      <w:pPr>
        <w:pStyle w:val="7"/>
        <w:spacing w:before="6"/>
        <w:ind w:left="0"/>
        <w:rPr>
          <w:rFonts w:ascii="Times New Roman"/>
          <w:sz w:val="24"/>
        </w:rPr>
      </w:pPr>
    </w:p>
    <w:p>
      <w:pPr>
        <w:jc w:val="center"/>
        <w:rPr>
          <w:rFonts w:ascii="华文中宋" w:hAnsi="华文中宋" w:eastAsia="华文中宋" w:cs="华文中宋"/>
          <w:sz w:val="72"/>
          <w:szCs w:val="72"/>
          <w:lang w:val="en-US"/>
        </w:rPr>
      </w:pPr>
      <w:r>
        <w:rPr>
          <w:rFonts w:hint="eastAsia" w:ascii="华文中宋" w:hAnsi="华文中宋" w:eastAsia="华文中宋" w:cs="华文中宋"/>
          <w:sz w:val="72"/>
          <w:szCs w:val="72"/>
          <w:lang w:val="en-US"/>
        </w:rPr>
        <w:t>头孢氨苄</w:t>
      </w:r>
      <w:r>
        <w:rPr>
          <w:rFonts w:hint="eastAsia" w:ascii="华文中宋" w:hAnsi="华文中宋" w:eastAsia="华文中宋" w:cs="华文中宋"/>
          <w:sz w:val="72"/>
          <w:szCs w:val="72"/>
        </w:rPr>
        <w:t>药品</w:t>
      </w:r>
      <w:r>
        <w:rPr>
          <w:rFonts w:hint="eastAsia" w:ascii="华文中宋" w:hAnsi="华文中宋" w:eastAsia="华文中宋" w:cs="华文中宋"/>
          <w:sz w:val="72"/>
          <w:szCs w:val="72"/>
          <w:lang w:val="en-US"/>
        </w:rPr>
        <w:t>联盟地区</w:t>
      </w:r>
    </w:p>
    <w:p>
      <w:pPr>
        <w:jc w:val="center"/>
        <w:rPr>
          <w:rFonts w:ascii="华文中宋" w:hAnsi="华文中宋" w:eastAsia="华文中宋" w:cs="华文中宋"/>
          <w:sz w:val="72"/>
          <w:szCs w:val="72"/>
        </w:rPr>
      </w:pPr>
      <w:r>
        <w:rPr>
          <w:rFonts w:hint="eastAsia" w:ascii="华文中宋" w:hAnsi="华文中宋" w:eastAsia="华文中宋" w:cs="华文中宋"/>
          <w:sz w:val="72"/>
          <w:szCs w:val="72"/>
        </w:rPr>
        <w:t>集</w:t>
      </w:r>
      <w:r>
        <w:rPr>
          <w:rFonts w:hint="eastAsia" w:ascii="华文中宋" w:hAnsi="华文中宋" w:eastAsia="华文中宋" w:cs="华文中宋"/>
          <w:sz w:val="72"/>
          <w:szCs w:val="72"/>
          <w:lang w:val="en-US"/>
        </w:rPr>
        <w:t>团带量</w:t>
      </w:r>
      <w:r>
        <w:rPr>
          <w:rFonts w:hint="eastAsia" w:ascii="华文中宋" w:hAnsi="华文中宋" w:eastAsia="华文中宋" w:cs="华文中宋"/>
          <w:sz w:val="72"/>
          <w:szCs w:val="72"/>
        </w:rPr>
        <w:t>采购文件</w:t>
      </w:r>
    </w:p>
    <w:p>
      <w:pPr>
        <w:pStyle w:val="7"/>
        <w:ind w:left="0"/>
        <w:rPr>
          <w:rFonts w:ascii="华文中宋"/>
          <w:sz w:val="110"/>
        </w:rPr>
      </w:pPr>
    </w:p>
    <w:p>
      <w:pPr>
        <w:pStyle w:val="7"/>
        <w:ind w:left="0"/>
        <w:rPr>
          <w:rFonts w:ascii="华文中宋"/>
          <w:sz w:val="110"/>
        </w:rPr>
      </w:pPr>
    </w:p>
    <w:p>
      <w:pPr>
        <w:spacing w:line="360" w:lineRule="auto"/>
        <w:jc w:val="center"/>
        <w:rPr>
          <w:rFonts w:ascii="华文中宋" w:hAnsi="华文中宋" w:eastAsia="华文中宋"/>
          <w:sz w:val="32"/>
        </w:rPr>
      </w:pPr>
      <w:r>
        <w:rPr>
          <w:rFonts w:hint="eastAsia" w:ascii="华文中宋" w:hAnsi="华文中宋" w:eastAsia="华文中宋"/>
          <w:sz w:val="32"/>
        </w:rPr>
        <w:t>采购文件编号：GDYJYPDL20210</w:t>
      </w:r>
      <w:r>
        <w:rPr>
          <w:rFonts w:ascii="华文中宋" w:hAnsi="华文中宋" w:eastAsia="华文中宋"/>
          <w:sz w:val="32"/>
          <w:lang w:val="en-US"/>
        </w:rPr>
        <w:t>1</w:t>
      </w:r>
    </w:p>
    <w:p>
      <w:pPr>
        <w:pStyle w:val="7"/>
        <w:ind w:left="0"/>
        <w:rPr>
          <w:rFonts w:ascii="Times New Roman"/>
          <w:sz w:val="42"/>
        </w:rPr>
      </w:pPr>
    </w:p>
    <w:p>
      <w:pPr>
        <w:pStyle w:val="7"/>
        <w:ind w:left="0"/>
        <w:rPr>
          <w:rFonts w:ascii="Times New Roman"/>
          <w:sz w:val="42"/>
        </w:rPr>
      </w:pPr>
    </w:p>
    <w:p>
      <w:pPr>
        <w:spacing w:line="360" w:lineRule="auto"/>
        <w:jc w:val="center"/>
        <w:rPr>
          <w:rFonts w:ascii="华文中宋" w:hAnsi="华文中宋" w:eastAsia="华文中宋" w:cs="华文细黑"/>
          <w:sz w:val="32"/>
        </w:rPr>
      </w:pPr>
    </w:p>
    <w:p>
      <w:pPr>
        <w:spacing w:line="360" w:lineRule="auto"/>
        <w:jc w:val="center"/>
        <w:rPr>
          <w:rFonts w:ascii="华文中宋" w:hAnsi="华文中宋" w:eastAsia="华文中宋" w:cs="华文细黑"/>
          <w:sz w:val="32"/>
        </w:rPr>
      </w:pPr>
    </w:p>
    <w:p>
      <w:pPr>
        <w:spacing w:line="360" w:lineRule="auto"/>
        <w:jc w:val="center"/>
        <w:rPr>
          <w:rFonts w:ascii="华文中宋" w:hAnsi="华文中宋" w:eastAsia="华文中宋" w:cs="华文细黑"/>
          <w:sz w:val="32"/>
        </w:rPr>
      </w:pPr>
    </w:p>
    <w:p>
      <w:pPr>
        <w:spacing w:line="360" w:lineRule="auto"/>
        <w:jc w:val="center"/>
        <w:rPr>
          <w:rFonts w:ascii="华文中宋" w:hAnsi="华文中宋" w:eastAsia="华文中宋" w:cs="华文细黑"/>
          <w:sz w:val="32"/>
        </w:rPr>
      </w:pPr>
      <w:r>
        <w:rPr>
          <w:rFonts w:hint="eastAsia" w:ascii="华文中宋" w:hAnsi="华文中宋" w:eastAsia="华文中宋" w:cs="华文细黑"/>
          <w:sz w:val="32"/>
        </w:rPr>
        <w:t>广东省药品交易中心</w:t>
      </w:r>
    </w:p>
    <w:p>
      <w:pPr>
        <w:spacing w:line="360" w:lineRule="auto"/>
        <w:jc w:val="center"/>
        <w:rPr>
          <w:rFonts w:hint="eastAsia" w:ascii="华文中宋" w:hAnsi="华文中宋" w:eastAsia="华文中宋" w:cs="华文细黑"/>
          <w:sz w:val="32"/>
        </w:rPr>
      </w:pPr>
      <w:r>
        <w:rPr>
          <w:rFonts w:hint="eastAsia" w:ascii="华文中宋" w:hAnsi="华文中宋" w:eastAsia="华文中宋" w:cs="华文细黑"/>
          <w:sz w:val="32"/>
        </w:rPr>
        <w:t>20</w:t>
      </w:r>
      <w:r>
        <w:rPr>
          <w:rFonts w:ascii="华文中宋" w:hAnsi="华文中宋" w:eastAsia="华文中宋" w:cs="华文细黑"/>
          <w:sz w:val="32"/>
        </w:rPr>
        <w:t>2</w:t>
      </w:r>
      <w:r>
        <w:rPr>
          <w:rFonts w:hint="eastAsia" w:ascii="华文中宋" w:hAnsi="华文中宋" w:eastAsia="华文中宋" w:cs="华文细黑"/>
          <w:sz w:val="32"/>
        </w:rPr>
        <w:t>1年</w:t>
      </w:r>
      <w:r>
        <w:rPr>
          <w:rFonts w:hint="eastAsia" w:ascii="华文中宋" w:hAnsi="华文中宋" w:eastAsia="华文中宋" w:cs="华文细黑"/>
          <w:sz w:val="32"/>
          <w:lang w:val="en-US"/>
        </w:rPr>
        <w:t>3</w:t>
      </w:r>
      <w:r>
        <w:rPr>
          <w:rFonts w:hint="eastAsia" w:ascii="华文中宋" w:hAnsi="华文中宋" w:eastAsia="华文中宋" w:cs="华文细黑"/>
          <w:sz w:val="32"/>
        </w:rPr>
        <w:t>月</w:t>
      </w:r>
    </w:p>
    <w:p>
      <w:pPr>
        <w:rPr>
          <w:rFonts w:hint="eastAsia" w:ascii="华文中宋" w:hAnsi="华文中宋" w:eastAsia="华文中宋" w:cs="华文细黑"/>
          <w:sz w:val="32"/>
        </w:rPr>
      </w:pPr>
      <w:r>
        <w:rPr>
          <w:rFonts w:hint="eastAsia" w:ascii="华文中宋" w:hAnsi="华文中宋" w:eastAsia="华文中宋" w:cs="华文细黑"/>
          <w:sz w:val="32"/>
        </w:rPr>
        <w:br w:type="page"/>
      </w:r>
    </w:p>
    <w:p>
      <w:pPr>
        <w:pStyle w:val="2"/>
      </w:pPr>
    </w:p>
    <w:p>
      <w:pPr>
        <w:pStyle w:val="12"/>
        <w:tabs>
          <w:tab w:val="right" w:leader="dot" w:pos="9836"/>
        </w:tabs>
        <w:spacing w:line="480" w:lineRule="exact"/>
        <w:ind w:left="440"/>
        <w:jc w:val="center"/>
        <w:rPr>
          <w:sz w:val="24"/>
          <w:szCs w:val="24"/>
        </w:rPr>
      </w:pPr>
      <w:r>
        <w:rPr>
          <w:rFonts w:hint="eastAsia" w:ascii="黑体" w:hAnsi="黑体" w:eastAsia="黑体" w:cs="黑体"/>
          <w:b w:val="0"/>
          <w:bCs w:val="0"/>
          <w:sz w:val="44"/>
          <w:szCs w:val="44"/>
        </w:rPr>
        <w:t>目</w:t>
      </w:r>
      <w:r>
        <w:rPr>
          <w:rFonts w:hint="eastAsia" w:ascii="黑体" w:hAnsi="黑体" w:eastAsia="黑体" w:cs="黑体"/>
          <w:b w:val="0"/>
          <w:bCs w:val="0"/>
          <w:sz w:val="44"/>
          <w:szCs w:val="44"/>
          <w:lang w:val="en-US"/>
        </w:rPr>
        <w:t xml:space="preserve">  </w:t>
      </w:r>
      <w:r>
        <w:rPr>
          <w:rFonts w:hint="eastAsia" w:ascii="黑体" w:hAnsi="黑体" w:eastAsia="黑体" w:cs="黑体"/>
          <w:b w:val="0"/>
          <w:bCs w:val="0"/>
          <w:sz w:val="44"/>
          <w:szCs w:val="44"/>
        </w:rPr>
        <w:t>录</w:t>
      </w:r>
      <w:r>
        <w:rPr>
          <w:rFonts w:hint="eastAsia"/>
          <w:sz w:val="24"/>
          <w:szCs w:val="24"/>
        </w:rPr>
        <w:fldChar w:fldCharType="begin"/>
      </w:r>
      <w:r>
        <w:rPr>
          <w:rFonts w:hint="eastAsia"/>
          <w:sz w:val="24"/>
          <w:szCs w:val="24"/>
        </w:rPr>
        <w:instrText xml:space="preserve">TOC \o "1-2" \h \u </w:instrText>
      </w:r>
      <w:r>
        <w:rPr>
          <w:rFonts w:hint="eastAsia"/>
          <w:sz w:val="24"/>
          <w:szCs w:val="24"/>
        </w:rPr>
        <w:fldChar w:fldCharType="separate"/>
      </w:r>
    </w:p>
    <w:p>
      <w:pPr>
        <w:pStyle w:val="11"/>
        <w:tabs>
          <w:tab w:val="right" w:leader="dot" w:pos="9836"/>
        </w:tabs>
        <w:spacing w:line="360" w:lineRule="exact"/>
        <w:rPr>
          <w:rFonts w:hint="eastAsia" w:eastAsia="仿宋"/>
          <w:sz w:val="24"/>
          <w:szCs w:val="24"/>
          <w:lang w:val="en-US" w:eastAsia="zh-CN"/>
        </w:rPr>
      </w:pPr>
      <w:r>
        <w:fldChar w:fldCharType="begin"/>
      </w:r>
      <w:r>
        <w:instrText xml:space="preserve"> HYPERLINK \l "_Toc7563" </w:instrText>
      </w:r>
      <w:r>
        <w:fldChar w:fldCharType="separate"/>
      </w:r>
      <w:r>
        <w:rPr>
          <w:rFonts w:hint="eastAsia"/>
          <w:b/>
          <w:bCs/>
          <w:sz w:val="24"/>
          <w:szCs w:val="24"/>
          <w:lang w:val="en-US"/>
        </w:rPr>
        <w:t>第一部分 采购邀请</w:t>
      </w:r>
      <w:r>
        <w:rPr>
          <w:sz w:val="24"/>
          <w:szCs w:val="24"/>
        </w:rPr>
        <w:tab/>
      </w:r>
      <w:r>
        <w:rPr>
          <w:rFonts w:hint="eastAsia"/>
          <w:sz w:val="24"/>
          <w:szCs w:val="24"/>
          <w:lang w:val="en-US" w:eastAsia="zh-CN"/>
        </w:rPr>
        <w:t>-</w:t>
      </w:r>
      <w:r>
        <w:rPr>
          <w:rFonts w:hint="eastAsia"/>
          <w:sz w:val="24"/>
          <w:szCs w:val="24"/>
          <w:lang w:val="en-US"/>
        </w:rPr>
        <w:t>1</w:t>
      </w:r>
      <w:r>
        <w:rPr>
          <w:rFonts w:hint="eastAsia"/>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"_Toc16678" </w:instrText>
      </w:r>
      <w:r>
        <w:fldChar w:fldCharType="separate"/>
      </w:r>
      <w:r>
        <w:rPr>
          <w:rFonts w:hint="eastAsia"/>
          <w:sz w:val="24"/>
          <w:szCs w:val="24"/>
          <w:lang w:val="en-US"/>
        </w:rPr>
        <w:t>一、采购主体</w:t>
      </w:r>
      <w:r>
        <w:rPr>
          <w:sz w:val="24"/>
          <w:szCs w:val="24"/>
        </w:rPr>
        <w:tab/>
      </w:r>
      <w:r>
        <w:rPr>
          <w:rFonts w:hint="eastAsia"/>
          <w:sz w:val="24"/>
          <w:szCs w:val="24"/>
          <w:lang w:val="en-US" w:eastAsia="zh-CN"/>
        </w:rPr>
        <w:t>-</w:t>
      </w:r>
      <w:r>
        <w:rPr>
          <w:rFonts w:hint="eastAsia"/>
          <w:sz w:val="24"/>
          <w:szCs w:val="24"/>
          <w:lang w:val="en-US"/>
        </w:rPr>
        <w:t>1</w:t>
      </w:r>
      <w:r>
        <w:rPr>
          <w:rFonts w:hint="eastAsia"/>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"_Toc26433" </w:instrText>
      </w:r>
      <w:r>
        <w:fldChar w:fldCharType="separate"/>
      </w:r>
      <w:r>
        <w:rPr>
          <w:rFonts w:hint="eastAsia"/>
          <w:sz w:val="24"/>
          <w:szCs w:val="24"/>
          <w:lang w:val="en-US"/>
        </w:rPr>
        <w:t>二、品种范围</w:t>
      </w:r>
      <w:r>
        <w:rPr>
          <w:sz w:val="24"/>
          <w:szCs w:val="24"/>
        </w:rPr>
        <w:tab/>
      </w:r>
      <w:r>
        <w:rPr>
          <w:rFonts w:hint="eastAsia"/>
          <w:sz w:val="24"/>
          <w:szCs w:val="24"/>
          <w:lang w:val="en-US" w:eastAsia="zh-CN"/>
        </w:rPr>
        <w:t>-</w:t>
      </w:r>
      <w:r>
        <w:rPr>
          <w:rFonts w:hint="eastAsia"/>
          <w:sz w:val="24"/>
          <w:szCs w:val="24"/>
          <w:lang w:val="en-US"/>
        </w:rPr>
        <w:t>1</w:t>
      </w:r>
      <w:r>
        <w:rPr>
          <w:rFonts w:hint="eastAsia"/>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"_Toc18524" </w:instrText>
      </w:r>
      <w:r>
        <w:fldChar w:fldCharType="separate"/>
      </w:r>
      <w:r>
        <w:rPr>
          <w:rFonts w:hint="eastAsia"/>
          <w:sz w:val="24"/>
          <w:szCs w:val="24"/>
          <w:lang w:val="en-US"/>
        </w:rPr>
        <w:t>三、采购周期和采购协议</w:t>
      </w:r>
      <w:r>
        <w:rPr>
          <w:sz w:val="24"/>
          <w:szCs w:val="24"/>
        </w:rPr>
        <w:tab/>
      </w:r>
      <w:r>
        <w:rPr>
          <w:rFonts w:hint="eastAsia"/>
          <w:sz w:val="24"/>
          <w:szCs w:val="24"/>
          <w:lang w:val="en-US" w:eastAsia="zh-CN"/>
        </w:rPr>
        <w:t>-</w:t>
      </w:r>
      <w:r>
        <w:rPr>
          <w:rFonts w:hint="eastAsia"/>
          <w:sz w:val="24"/>
          <w:szCs w:val="24"/>
          <w:lang w:val="en-US"/>
        </w:rPr>
        <w:t>1</w:t>
      </w:r>
      <w:r>
        <w:rPr>
          <w:rFonts w:hint="eastAsia"/>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"_Toc22582" </w:instrText>
      </w:r>
      <w:r>
        <w:fldChar w:fldCharType="separate"/>
      </w:r>
      <w:r>
        <w:rPr>
          <w:rFonts w:hint="eastAsia"/>
          <w:sz w:val="24"/>
          <w:szCs w:val="24"/>
          <w:lang w:val="en-US"/>
        </w:rPr>
        <w:t>四、申报资格</w:t>
      </w:r>
      <w:r>
        <w:rPr>
          <w:sz w:val="24"/>
          <w:szCs w:val="24"/>
        </w:rPr>
        <w:tab/>
      </w:r>
      <w:r>
        <w:rPr>
          <w:sz w:val="24"/>
          <w:szCs w:val="24"/>
        </w:rPr>
        <w:fldChar w:fldCharType="end"/>
      </w:r>
      <w:r>
        <w:rPr>
          <w:rFonts w:hint="eastAsia"/>
          <w:sz w:val="24"/>
          <w:szCs w:val="24"/>
          <w:lang w:val="en-US" w:eastAsia="zh-CN"/>
        </w:rPr>
        <w:t>-</w:t>
      </w:r>
      <w:r>
        <w:rPr>
          <w:rFonts w:hint="eastAsia"/>
          <w:sz w:val="24"/>
          <w:szCs w:val="24"/>
          <w:lang w:val="en-US"/>
        </w:rPr>
        <w:t>1</w:t>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"_Toc18136" </w:instrText>
      </w:r>
      <w:r>
        <w:fldChar w:fldCharType="separate"/>
      </w:r>
      <w:r>
        <w:rPr>
          <w:rFonts w:hint="eastAsia"/>
          <w:sz w:val="24"/>
          <w:szCs w:val="24"/>
          <w:lang w:val="en-US"/>
        </w:rPr>
        <w:t>五、采购产品清单</w:t>
      </w:r>
      <w:r>
        <w:rPr>
          <w:sz w:val="24"/>
          <w:szCs w:val="24"/>
        </w:rPr>
        <w:tab/>
      </w:r>
      <w:r>
        <w:rPr>
          <w:rFonts w:hint="eastAsia"/>
          <w:sz w:val="24"/>
          <w:szCs w:val="24"/>
          <w:lang w:val="en-US" w:eastAsia="zh-CN"/>
        </w:rPr>
        <w:t>-</w:t>
      </w:r>
      <w:r>
        <w:rPr>
          <w:sz w:val="24"/>
          <w:szCs w:val="24"/>
          <w:lang w:val="en-US"/>
        </w:rPr>
        <w:t>3</w:t>
      </w:r>
      <w:r>
        <w:rPr>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"_Toc14670" </w:instrText>
      </w:r>
      <w:r>
        <w:fldChar w:fldCharType="separate"/>
      </w:r>
      <w:r>
        <w:rPr>
          <w:rFonts w:hint="eastAsia"/>
          <w:sz w:val="24"/>
          <w:szCs w:val="24"/>
          <w:lang w:val="en-US"/>
        </w:rPr>
        <w:t>六、采购执行说明</w:t>
      </w:r>
      <w:r>
        <w:rPr>
          <w:sz w:val="24"/>
          <w:szCs w:val="24"/>
        </w:rPr>
        <w:tab/>
      </w:r>
      <w:r>
        <w:rPr>
          <w:rFonts w:hint="eastAsia"/>
          <w:sz w:val="24"/>
          <w:szCs w:val="24"/>
          <w:lang w:val="en-US" w:eastAsia="zh-CN"/>
        </w:rPr>
        <w:t>-</w:t>
      </w:r>
      <w:r>
        <w:rPr>
          <w:sz w:val="24"/>
          <w:szCs w:val="24"/>
          <w:lang w:val="en-US"/>
        </w:rPr>
        <w:t>4</w:t>
      </w:r>
      <w:r>
        <w:rPr>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"_Toc7178" </w:instrText>
      </w:r>
      <w:r>
        <w:fldChar w:fldCharType="separate"/>
      </w:r>
      <w:r>
        <w:rPr>
          <w:rFonts w:hint="eastAsia"/>
          <w:sz w:val="24"/>
          <w:szCs w:val="24"/>
          <w:lang w:val="en-US"/>
        </w:rPr>
        <w:t>七</w:t>
      </w:r>
      <w:r>
        <w:rPr>
          <w:sz w:val="24"/>
          <w:szCs w:val="24"/>
          <w:lang w:val="en-US"/>
        </w:rPr>
        <w:t>、</w:t>
      </w:r>
      <w:r>
        <w:rPr>
          <w:rFonts w:hint="eastAsia"/>
          <w:sz w:val="24"/>
          <w:szCs w:val="24"/>
          <w:lang w:val="en-US"/>
        </w:rPr>
        <w:t>采购文件获取方式</w:t>
      </w:r>
      <w:r>
        <w:rPr>
          <w:sz w:val="24"/>
          <w:szCs w:val="24"/>
        </w:rPr>
        <w:tab/>
      </w:r>
      <w:r>
        <w:rPr>
          <w:rFonts w:hint="eastAsia"/>
          <w:sz w:val="24"/>
          <w:szCs w:val="24"/>
          <w:lang w:val="en-US" w:eastAsia="zh-CN"/>
        </w:rPr>
        <w:t>-</w:t>
      </w:r>
      <w:r>
        <w:rPr>
          <w:sz w:val="24"/>
          <w:szCs w:val="24"/>
          <w:lang w:val="en-US"/>
        </w:rPr>
        <w:t>4</w:t>
      </w:r>
      <w:r>
        <w:rPr>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"_Toc7178" </w:instrText>
      </w:r>
      <w:r>
        <w:fldChar w:fldCharType="separate"/>
      </w:r>
      <w:r>
        <w:rPr>
          <w:rFonts w:hint="eastAsia"/>
          <w:sz w:val="24"/>
          <w:szCs w:val="24"/>
          <w:lang w:val="en-US"/>
        </w:rPr>
        <w:t>八</w:t>
      </w:r>
      <w:r>
        <w:rPr>
          <w:sz w:val="24"/>
          <w:szCs w:val="24"/>
          <w:lang w:val="en-US"/>
        </w:rPr>
        <w:t>、</w:t>
      </w:r>
      <w:r>
        <w:rPr>
          <w:rFonts w:hint="eastAsia"/>
          <w:sz w:val="24"/>
          <w:szCs w:val="24"/>
          <w:lang w:val="en-US"/>
        </w:rPr>
        <w:t>报名方式和截止时间</w:t>
      </w:r>
      <w:r>
        <w:rPr>
          <w:sz w:val="24"/>
          <w:szCs w:val="24"/>
        </w:rPr>
        <w:tab/>
      </w:r>
      <w:r>
        <w:rPr>
          <w:rFonts w:hint="eastAsia"/>
          <w:sz w:val="24"/>
          <w:szCs w:val="24"/>
          <w:lang w:val="en-US" w:eastAsia="zh-CN"/>
        </w:rPr>
        <w:t>-</w:t>
      </w:r>
      <w:r>
        <w:rPr>
          <w:rFonts w:hint="eastAsia"/>
          <w:sz w:val="24"/>
          <w:szCs w:val="24"/>
          <w:lang w:val="en-US"/>
        </w:rPr>
        <w:t>4</w:t>
      </w:r>
      <w:r>
        <w:rPr>
          <w:rFonts w:hint="eastAsia"/>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"_Toc9710" </w:instrText>
      </w:r>
      <w:r>
        <w:fldChar w:fldCharType="separate"/>
      </w:r>
      <w:r>
        <w:rPr>
          <w:rFonts w:hint="eastAsia"/>
          <w:sz w:val="24"/>
          <w:szCs w:val="24"/>
          <w:lang w:val="en-US"/>
        </w:rPr>
        <w:t>九、申报材料递交截止时间的地点</w:t>
      </w:r>
      <w:r>
        <w:rPr>
          <w:sz w:val="24"/>
          <w:szCs w:val="24"/>
        </w:rPr>
        <w:tab/>
      </w:r>
      <w:r>
        <w:rPr>
          <w:rFonts w:hint="eastAsia"/>
          <w:sz w:val="24"/>
          <w:szCs w:val="24"/>
          <w:lang w:val="en-US" w:eastAsia="zh-CN"/>
        </w:rPr>
        <w:t>-</w:t>
      </w:r>
      <w:r>
        <w:rPr>
          <w:rFonts w:hint="eastAsia"/>
          <w:sz w:val="24"/>
          <w:szCs w:val="24"/>
          <w:lang w:val="en-US"/>
        </w:rPr>
        <w:t>4</w:t>
      </w:r>
      <w:r>
        <w:rPr>
          <w:rFonts w:hint="eastAsia"/>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"_Toc4266" </w:instrText>
      </w:r>
      <w:r>
        <w:fldChar w:fldCharType="separate"/>
      </w:r>
      <w:r>
        <w:rPr>
          <w:rFonts w:hint="eastAsia"/>
          <w:sz w:val="24"/>
          <w:szCs w:val="24"/>
          <w:lang w:val="en-US"/>
        </w:rPr>
        <w:t>十、申报信息公开时间和地点</w:t>
      </w:r>
      <w:r>
        <w:rPr>
          <w:sz w:val="24"/>
          <w:szCs w:val="24"/>
        </w:rPr>
        <w:tab/>
      </w:r>
      <w:r>
        <w:rPr>
          <w:rFonts w:hint="eastAsia"/>
          <w:sz w:val="24"/>
          <w:szCs w:val="24"/>
          <w:lang w:val="en-US" w:eastAsia="zh-CN"/>
        </w:rPr>
        <w:t>-</w:t>
      </w:r>
      <w:r>
        <w:rPr>
          <w:sz w:val="24"/>
          <w:szCs w:val="24"/>
          <w:lang w:val="en-US"/>
        </w:rPr>
        <w:t>5</w:t>
      </w:r>
      <w:r>
        <w:rPr>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"_Toc6958" </w:instrText>
      </w:r>
      <w:r>
        <w:fldChar w:fldCharType="separate"/>
      </w:r>
      <w:r>
        <w:rPr>
          <w:rFonts w:hint="eastAsia"/>
          <w:sz w:val="24"/>
          <w:szCs w:val="24"/>
          <w:lang w:val="en-US"/>
        </w:rPr>
        <w:t>十一、信息公开方式</w:t>
      </w:r>
      <w:r>
        <w:rPr>
          <w:sz w:val="24"/>
          <w:szCs w:val="24"/>
        </w:rPr>
        <w:tab/>
      </w:r>
      <w:r>
        <w:rPr>
          <w:rFonts w:hint="eastAsia"/>
          <w:sz w:val="24"/>
          <w:szCs w:val="24"/>
          <w:lang w:val="en-US" w:eastAsia="zh-CN"/>
        </w:rPr>
        <w:t>-</w:t>
      </w:r>
      <w:r>
        <w:rPr>
          <w:sz w:val="24"/>
          <w:szCs w:val="24"/>
          <w:lang w:val="en-US"/>
        </w:rPr>
        <w:t>5</w:t>
      </w:r>
      <w:r>
        <w:rPr>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"_Toc12204" </w:instrText>
      </w:r>
      <w:r>
        <w:fldChar w:fldCharType="separate"/>
      </w:r>
      <w:r>
        <w:rPr>
          <w:rFonts w:hint="eastAsia"/>
          <w:sz w:val="24"/>
          <w:szCs w:val="24"/>
          <w:lang w:val="en-US"/>
        </w:rPr>
        <w:t>十二、联系方式</w:t>
      </w:r>
      <w:r>
        <w:rPr>
          <w:sz w:val="24"/>
          <w:szCs w:val="24"/>
        </w:rPr>
        <w:tab/>
      </w:r>
      <w:r>
        <w:rPr>
          <w:rFonts w:hint="eastAsia"/>
          <w:sz w:val="24"/>
          <w:szCs w:val="24"/>
          <w:lang w:val="en-US" w:eastAsia="zh-CN"/>
        </w:rPr>
        <w:t>-</w:t>
      </w:r>
      <w:r>
        <w:rPr>
          <w:sz w:val="24"/>
          <w:szCs w:val="24"/>
          <w:lang w:val="en-US"/>
        </w:rPr>
        <w:t>5</w:t>
      </w:r>
      <w:r>
        <w:rPr>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"_Toc12204" </w:instrText>
      </w:r>
      <w:r>
        <w:fldChar w:fldCharType="separate"/>
      </w:r>
      <w:r>
        <w:rPr>
          <w:rFonts w:hint="eastAsia"/>
          <w:sz w:val="24"/>
          <w:szCs w:val="24"/>
          <w:lang w:val="en-US"/>
        </w:rPr>
        <w:t>十三、其他</w:t>
      </w:r>
      <w:r>
        <w:rPr>
          <w:sz w:val="24"/>
          <w:szCs w:val="24"/>
        </w:rPr>
        <w:tab/>
      </w:r>
      <w:r>
        <w:rPr>
          <w:rFonts w:hint="eastAsia"/>
          <w:sz w:val="24"/>
          <w:szCs w:val="24"/>
          <w:lang w:val="en-US" w:eastAsia="zh-CN"/>
        </w:rPr>
        <w:t>-</w:t>
      </w:r>
      <w:r>
        <w:rPr>
          <w:rFonts w:hint="eastAsia"/>
          <w:sz w:val="24"/>
          <w:szCs w:val="24"/>
          <w:lang w:val="en-US"/>
        </w:rPr>
        <w:t>5</w:t>
      </w:r>
      <w:r>
        <w:rPr>
          <w:rFonts w:hint="eastAsia"/>
          <w:sz w:val="24"/>
          <w:szCs w:val="24"/>
          <w:lang w:val="en-US"/>
        </w:rPr>
        <w:fldChar w:fldCharType="end"/>
      </w:r>
      <w:r>
        <w:rPr>
          <w:rFonts w:hint="eastAsia"/>
          <w:sz w:val="24"/>
          <w:szCs w:val="24"/>
          <w:lang w:val="en-US" w:eastAsia="zh-CN"/>
        </w:rPr>
        <w:t>-</w:t>
      </w:r>
    </w:p>
    <w:p>
      <w:pPr>
        <w:pStyle w:val="11"/>
        <w:tabs>
          <w:tab w:val="right" w:leader="dot" w:pos="9836"/>
        </w:tabs>
        <w:spacing w:line="360" w:lineRule="exact"/>
        <w:rPr>
          <w:rFonts w:hint="eastAsia" w:eastAsia="仿宋"/>
          <w:sz w:val="24"/>
          <w:szCs w:val="24"/>
          <w:lang w:val="en-US" w:eastAsia="zh-CN"/>
        </w:rPr>
      </w:pPr>
      <w:r>
        <w:fldChar w:fldCharType="begin"/>
      </w:r>
      <w:r>
        <w:instrText xml:space="preserve"> HYPERLINK \l "_Toc23482" </w:instrText>
      </w:r>
      <w:r>
        <w:fldChar w:fldCharType="separate"/>
      </w:r>
      <w:r>
        <w:rPr>
          <w:b/>
          <w:bCs/>
          <w:sz w:val="24"/>
          <w:szCs w:val="24"/>
        </w:rPr>
        <w:t>第二部分 申报企业须知</w:t>
      </w:r>
      <w:r>
        <w:rPr>
          <w:sz w:val="24"/>
          <w:szCs w:val="24"/>
        </w:rPr>
        <w:tab/>
      </w:r>
      <w:r>
        <w:rPr>
          <w:rFonts w:hint="eastAsia"/>
          <w:sz w:val="24"/>
          <w:szCs w:val="24"/>
          <w:lang w:val="en-US" w:eastAsia="zh-CN"/>
        </w:rPr>
        <w:t>-</w:t>
      </w:r>
      <w:r>
        <w:rPr>
          <w:rFonts w:hint="eastAsia"/>
          <w:sz w:val="24"/>
          <w:szCs w:val="24"/>
          <w:lang w:val="en-US"/>
        </w:rPr>
        <w:t>6</w:t>
      </w:r>
      <w:r>
        <w:rPr>
          <w:rFonts w:hint="eastAsia"/>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"_Toc29906" </w:instrText>
      </w:r>
      <w:r>
        <w:fldChar w:fldCharType="separate"/>
      </w:r>
      <w:r>
        <w:rPr>
          <w:rFonts w:hint="eastAsia"/>
          <w:sz w:val="24"/>
          <w:szCs w:val="24"/>
        </w:rPr>
        <w:t>一、集团</w:t>
      </w:r>
      <w:r>
        <w:rPr>
          <w:sz w:val="24"/>
          <w:szCs w:val="24"/>
        </w:rPr>
        <w:t>带量采购</w:t>
      </w:r>
      <w:r>
        <w:rPr>
          <w:rFonts w:hint="eastAsia"/>
          <w:sz w:val="24"/>
          <w:szCs w:val="24"/>
        </w:rPr>
        <w:t>当事人</w:t>
      </w:r>
      <w:r>
        <w:rPr>
          <w:sz w:val="24"/>
          <w:szCs w:val="24"/>
        </w:rPr>
        <w:tab/>
      </w:r>
      <w:r>
        <w:rPr>
          <w:rFonts w:hint="eastAsia"/>
          <w:sz w:val="24"/>
          <w:szCs w:val="24"/>
          <w:lang w:val="en-US" w:eastAsia="zh-CN"/>
        </w:rPr>
        <w:t>-</w:t>
      </w:r>
      <w:r>
        <w:rPr>
          <w:rFonts w:hint="eastAsia"/>
          <w:sz w:val="24"/>
          <w:szCs w:val="24"/>
          <w:lang w:val="en-US"/>
        </w:rPr>
        <w:t>6</w:t>
      </w:r>
      <w:r>
        <w:rPr>
          <w:rFonts w:hint="eastAsia"/>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"_Toc11647" </w:instrText>
      </w:r>
      <w:r>
        <w:fldChar w:fldCharType="separate"/>
      </w:r>
      <w:r>
        <w:rPr>
          <w:rFonts w:hint="eastAsia"/>
          <w:sz w:val="24"/>
          <w:szCs w:val="24"/>
        </w:rPr>
        <w:t>二、申报材料编制</w:t>
      </w:r>
      <w:r>
        <w:rPr>
          <w:sz w:val="24"/>
          <w:szCs w:val="24"/>
        </w:rPr>
        <w:tab/>
      </w:r>
      <w:r>
        <w:rPr>
          <w:rFonts w:hint="eastAsia"/>
          <w:sz w:val="24"/>
          <w:szCs w:val="24"/>
          <w:lang w:val="en-US" w:eastAsia="zh-CN"/>
        </w:rPr>
        <w:t>-</w:t>
      </w:r>
      <w:r>
        <w:rPr>
          <w:rFonts w:hint="eastAsia"/>
          <w:sz w:val="24"/>
          <w:szCs w:val="24"/>
          <w:lang w:val="en-US"/>
        </w:rPr>
        <w:t>7</w:t>
      </w:r>
      <w:r>
        <w:rPr>
          <w:rFonts w:hint="eastAsia"/>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"_Toc3599" </w:instrText>
      </w:r>
      <w:r>
        <w:fldChar w:fldCharType="separate"/>
      </w:r>
      <w:r>
        <w:rPr>
          <w:rFonts w:hint="eastAsia"/>
          <w:sz w:val="24"/>
          <w:szCs w:val="24"/>
        </w:rPr>
        <w:t>三、申报材料递交</w:t>
      </w:r>
      <w:r>
        <w:rPr>
          <w:sz w:val="24"/>
          <w:szCs w:val="24"/>
        </w:rPr>
        <w:tab/>
      </w:r>
      <w:r>
        <w:rPr>
          <w:rFonts w:hint="eastAsia"/>
          <w:sz w:val="24"/>
          <w:szCs w:val="24"/>
          <w:lang w:val="en-US" w:eastAsia="zh-CN"/>
        </w:rPr>
        <w:t>-</w:t>
      </w:r>
      <w:r>
        <w:rPr>
          <w:sz w:val="24"/>
          <w:szCs w:val="24"/>
          <w:lang w:val="en-US"/>
        </w:rPr>
        <w:t>8</w:t>
      </w:r>
      <w:r>
        <w:rPr>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"_Toc18760" </w:instrText>
      </w:r>
      <w:r>
        <w:fldChar w:fldCharType="separate"/>
      </w:r>
      <w:r>
        <w:rPr>
          <w:rFonts w:hint="eastAsia"/>
          <w:sz w:val="24"/>
          <w:szCs w:val="24"/>
        </w:rPr>
        <w:t>四、申报信息公开</w:t>
      </w:r>
      <w:r>
        <w:rPr>
          <w:sz w:val="24"/>
          <w:szCs w:val="24"/>
        </w:rPr>
        <w:tab/>
      </w:r>
      <w:r>
        <w:rPr>
          <w:rFonts w:hint="eastAsia"/>
          <w:sz w:val="24"/>
          <w:szCs w:val="24"/>
          <w:lang w:val="en-US" w:eastAsia="zh-CN"/>
        </w:rPr>
        <w:t>-</w:t>
      </w:r>
      <w:r>
        <w:rPr>
          <w:rFonts w:hint="eastAsia"/>
          <w:sz w:val="24"/>
          <w:szCs w:val="24"/>
          <w:lang w:val="en-US"/>
        </w:rPr>
        <w:t>9</w:t>
      </w:r>
      <w:r>
        <w:rPr>
          <w:rFonts w:hint="eastAsia"/>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"_Toc18760" </w:instrText>
      </w:r>
      <w:r>
        <w:fldChar w:fldCharType="separate"/>
      </w:r>
      <w:r>
        <w:rPr>
          <w:rFonts w:hint="eastAsia"/>
          <w:sz w:val="24"/>
          <w:szCs w:val="24"/>
          <w:lang w:val="en-US"/>
        </w:rPr>
        <w:t>五</w:t>
      </w:r>
      <w:r>
        <w:rPr>
          <w:rFonts w:hint="eastAsia"/>
          <w:sz w:val="24"/>
          <w:szCs w:val="24"/>
        </w:rPr>
        <w:t>、</w:t>
      </w:r>
      <w:r>
        <w:rPr>
          <w:rFonts w:hint="eastAsia"/>
          <w:sz w:val="24"/>
          <w:szCs w:val="24"/>
          <w:lang w:val="en-US"/>
        </w:rPr>
        <w:t>拟中选产品确定</w:t>
      </w:r>
      <w:r>
        <w:rPr>
          <w:sz w:val="24"/>
          <w:szCs w:val="24"/>
        </w:rPr>
        <w:tab/>
      </w:r>
      <w:r>
        <w:rPr>
          <w:rFonts w:hint="eastAsia"/>
          <w:sz w:val="24"/>
          <w:szCs w:val="24"/>
          <w:lang w:val="en-US" w:eastAsia="zh-CN"/>
        </w:rPr>
        <w:t>-</w:t>
      </w:r>
      <w:r>
        <w:rPr>
          <w:rFonts w:hint="eastAsia"/>
          <w:sz w:val="24"/>
          <w:szCs w:val="24"/>
          <w:lang w:val="en-US"/>
        </w:rPr>
        <w:t>9</w:t>
      </w:r>
      <w:r>
        <w:rPr>
          <w:rFonts w:hint="eastAsia"/>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"_Toc18760" </w:instrText>
      </w:r>
      <w:r>
        <w:fldChar w:fldCharType="separate"/>
      </w:r>
      <w:r>
        <w:rPr>
          <w:rFonts w:hint="eastAsia"/>
          <w:sz w:val="24"/>
          <w:szCs w:val="24"/>
          <w:lang w:val="en-US"/>
        </w:rPr>
        <w:t>六</w:t>
      </w:r>
      <w:r>
        <w:rPr>
          <w:rFonts w:hint="eastAsia"/>
          <w:sz w:val="24"/>
          <w:szCs w:val="24"/>
        </w:rPr>
        <w:t>、</w:t>
      </w:r>
      <w:r>
        <w:rPr>
          <w:rFonts w:hint="eastAsia"/>
          <w:sz w:val="24"/>
          <w:szCs w:val="24"/>
          <w:lang w:val="en-US"/>
        </w:rPr>
        <w:t>采购协议</w:t>
      </w:r>
      <w:r>
        <w:rPr>
          <w:sz w:val="24"/>
          <w:szCs w:val="24"/>
        </w:rPr>
        <w:tab/>
      </w:r>
      <w:r>
        <w:rPr>
          <w:rFonts w:hint="eastAsia"/>
          <w:sz w:val="24"/>
          <w:szCs w:val="24"/>
          <w:lang w:val="en-US" w:eastAsia="zh-CN"/>
        </w:rPr>
        <w:t>-</w:t>
      </w:r>
      <w:r>
        <w:rPr>
          <w:sz w:val="24"/>
          <w:szCs w:val="24"/>
          <w:lang w:val="en-US"/>
        </w:rPr>
        <w:t>13</w:t>
      </w:r>
      <w:r>
        <w:rPr>
          <w:sz w:val="24"/>
          <w:szCs w:val="24"/>
          <w:lang w:val="en-US"/>
        </w:rPr>
        <w:fldChar w:fldCharType="end"/>
      </w:r>
      <w:r>
        <w:rPr>
          <w:rFonts w:hint="eastAsia"/>
          <w:sz w:val="24"/>
          <w:szCs w:val="24"/>
          <w:lang w:val="en-US" w:eastAsia="zh-CN"/>
        </w:rPr>
        <w:t>-</w:t>
      </w:r>
    </w:p>
    <w:p>
      <w:pPr>
        <w:pStyle w:val="12"/>
        <w:tabs>
          <w:tab w:val="right" w:leader="dot" w:pos="9836"/>
        </w:tabs>
        <w:spacing w:line="360" w:lineRule="exact"/>
        <w:ind w:left="440"/>
        <w:rPr>
          <w:rFonts w:hint="eastAsia" w:eastAsia="仿宋"/>
          <w:sz w:val="24"/>
          <w:szCs w:val="24"/>
          <w:lang w:val="en-US" w:eastAsia="zh-CN"/>
        </w:rPr>
      </w:pPr>
      <w:r>
        <w:fldChar w:fldCharType="begin"/>
      </w:r>
      <w:r>
        <w:instrText xml:space="preserve"> HYPERLINK \l "_Toc18760" </w:instrText>
      </w:r>
      <w:r>
        <w:fldChar w:fldCharType="separate"/>
      </w:r>
      <w:r>
        <w:rPr>
          <w:rFonts w:hint="eastAsia"/>
          <w:sz w:val="24"/>
          <w:szCs w:val="24"/>
          <w:lang w:val="en-US"/>
        </w:rPr>
        <w:t>七</w:t>
      </w:r>
      <w:r>
        <w:rPr>
          <w:rFonts w:hint="eastAsia"/>
          <w:sz w:val="24"/>
          <w:szCs w:val="24"/>
        </w:rPr>
        <w:t>、</w:t>
      </w:r>
      <w:r>
        <w:rPr>
          <w:rFonts w:hint="eastAsia"/>
          <w:sz w:val="24"/>
          <w:szCs w:val="24"/>
          <w:lang w:val="en-US"/>
        </w:rPr>
        <w:t>其他</w:t>
      </w:r>
      <w:r>
        <w:rPr>
          <w:sz w:val="24"/>
          <w:szCs w:val="24"/>
        </w:rPr>
        <w:tab/>
      </w:r>
      <w:r>
        <w:rPr>
          <w:sz w:val="24"/>
          <w:szCs w:val="24"/>
        </w:rPr>
        <w:fldChar w:fldCharType="end"/>
      </w:r>
      <w:r>
        <w:rPr>
          <w:rFonts w:hint="eastAsia"/>
          <w:sz w:val="24"/>
          <w:szCs w:val="24"/>
          <w:lang w:val="en-US" w:eastAsia="zh-CN"/>
        </w:rPr>
        <w:t>-</w:t>
      </w:r>
      <w:r>
        <w:rPr>
          <w:rFonts w:hint="eastAsia"/>
          <w:sz w:val="24"/>
          <w:szCs w:val="24"/>
          <w:lang w:val="en-US"/>
        </w:rPr>
        <w:t>1</w:t>
      </w:r>
      <w:r>
        <w:rPr>
          <w:sz w:val="24"/>
          <w:szCs w:val="24"/>
          <w:lang w:val="en-US"/>
        </w:rPr>
        <w:t>4</w:t>
      </w:r>
      <w:r>
        <w:rPr>
          <w:rFonts w:hint="eastAsia"/>
          <w:sz w:val="24"/>
          <w:szCs w:val="24"/>
          <w:lang w:val="en-US" w:eastAsia="zh-CN"/>
        </w:rPr>
        <w:t>-</w:t>
      </w:r>
    </w:p>
    <w:p>
      <w:pPr>
        <w:pStyle w:val="11"/>
        <w:tabs>
          <w:tab w:val="right" w:leader="dot" w:pos="9836"/>
        </w:tabs>
        <w:spacing w:line="360" w:lineRule="exact"/>
        <w:rPr>
          <w:rFonts w:hint="eastAsia" w:eastAsia="仿宋"/>
          <w:sz w:val="24"/>
          <w:szCs w:val="24"/>
          <w:lang w:val="en-US" w:eastAsia="zh-CN"/>
        </w:rPr>
      </w:pPr>
      <w:r>
        <w:fldChar w:fldCharType="begin"/>
      </w:r>
      <w:r>
        <w:instrText xml:space="preserve"> HYPERLINK \l "_Toc19152" </w:instrText>
      </w:r>
      <w:r>
        <w:fldChar w:fldCharType="separate"/>
      </w:r>
      <w:r>
        <w:rPr>
          <w:b/>
          <w:bCs/>
          <w:sz w:val="24"/>
          <w:szCs w:val="24"/>
        </w:rPr>
        <w:t>第三部分 附件</w:t>
      </w:r>
      <w:r>
        <w:rPr>
          <w:sz w:val="24"/>
          <w:szCs w:val="24"/>
        </w:rPr>
        <w:tab/>
      </w:r>
      <w:r>
        <w:rPr>
          <w:rFonts w:hint="eastAsia"/>
          <w:sz w:val="24"/>
          <w:szCs w:val="24"/>
          <w:lang w:val="en-US" w:eastAsia="zh-CN"/>
        </w:rPr>
        <w:t>-</w:t>
      </w:r>
      <w:r>
        <w:rPr>
          <w:rFonts w:hint="eastAsia"/>
          <w:sz w:val="24"/>
          <w:szCs w:val="24"/>
          <w:lang w:val="en-US"/>
        </w:rPr>
        <w:t>1</w:t>
      </w:r>
      <w:r>
        <w:rPr>
          <w:rFonts w:hint="eastAsia"/>
          <w:sz w:val="24"/>
          <w:szCs w:val="24"/>
          <w:lang w:val="en-US"/>
        </w:rPr>
        <w:fldChar w:fldCharType="end"/>
      </w:r>
      <w:r>
        <w:rPr>
          <w:sz w:val="24"/>
          <w:szCs w:val="24"/>
          <w:lang w:val="en-US"/>
        </w:rPr>
        <w:t>6</w:t>
      </w:r>
      <w:r>
        <w:rPr>
          <w:rFonts w:hint="eastAsia"/>
          <w:sz w:val="24"/>
          <w:szCs w:val="24"/>
          <w:lang w:val="en-US" w:eastAsia="zh-CN"/>
        </w:rPr>
        <w:t>-</w:t>
      </w:r>
    </w:p>
    <w:p>
      <w:pPr>
        <w:pStyle w:val="12"/>
        <w:tabs>
          <w:tab w:val="right" w:pos="2800"/>
          <w:tab w:val="right" w:leader="dot" w:pos="9836"/>
        </w:tabs>
        <w:spacing w:line="360" w:lineRule="exact"/>
        <w:ind w:left="440"/>
        <w:rPr>
          <w:rFonts w:hint="eastAsia" w:eastAsia="仿宋"/>
          <w:sz w:val="24"/>
          <w:szCs w:val="24"/>
          <w:lang w:val="en-US" w:eastAsia="zh-CN"/>
        </w:rPr>
      </w:pPr>
      <w:r>
        <w:fldChar w:fldCharType="begin"/>
      </w:r>
      <w:r>
        <w:instrText xml:space="preserve"> HYPERLINK \l "_Toc23586" </w:instrText>
      </w:r>
      <w:r>
        <w:fldChar w:fldCharType="separate"/>
      </w:r>
      <w:r>
        <w:rPr>
          <w:rFonts w:hint="eastAsia"/>
          <w:sz w:val="24"/>
          <w:szCs w:val="24"/>
          <w:lang w:val="en-US"/>
        </w:rPr>
        <w:t>附件1</w:t>
      </w:r>
      <w:r>
        <w:rPr>
          <w:rFonts w:hint="eastAsia"/>
          <w:sz w:val="24"/>
          <w:szCs w:val="24"/>
          <w:lang w:val="en-US"/>
        </w:rPr>
        <w:tab/>
      </w:r>
      <w:r>
        <w:rPr>
          <w:rFonts w:hint="eastAsia"/>
          <w:sz w:val="24"/>
          <w:szCs w:val="24"/>
          <w:lang w:val="en-US"/>
        </w:rPr>
        <w:t xml:space="preserve"> 医药企业价格和营销行为信用承诺</w:t>
      </w:r>
      <w:r>
        <w:rPr>
          <w:rFonts w:hint="eastAsia"/>
          <w:sz w:val="24"/>
          <w:szCs w:val="24"/>
          <w:lang w:val="en-US" w:eastAsia="zh-CN"/>
        </w:rPr>
        <w:t>书</w:t>
      </w:r>
      <w:r>
        <w:rPr>
          <w:rFonts w:hint="eastAsia"/>
          <w:sz w:val="24"/>
          <w:szCs w:val="24"/>
          <w:lang w:val="en-US"/>
        </w:rPr>
        <w:tab/>
      </w:r>
      <w:r>
        <w:rPr>
          <w:rFonts w:hint="eastAsia"/>
          <w:sz w:val="24"/>
          <w:szCs w:val="24"/>
          <w:lang w:val="en-US" w:eastAsia="zh-CN"/>
        </w:rPr>
        <w:t>-</w:t>
      </w:r>
      <w:r>
        <w:rPr>
          <w:rFonts w:hint="eastAsia"/>
          <w:sz w:val="24"/>
          <w:szCs w:val="24"/>
          <w:lang w:val="en-US"/>
        </w:rPr>
        <w:t>1</w:t>
      </w:r>
      <w:r>
        <w:rPr>
          <w:rFonts w:hint="eastAsia"/>
          <w:sz w:val="24"/>
          <w:szCs w:val="24"/>
          <w:lang w:val="en-US"/>
        </w:rPr>
        <w:fldChar w:fldCharType="end"/>
      </w:r>
      <w:r>
        <w:rPr>
          <w:sz w:val="24"/>
          <w:szCs w:val="24"/>
          <w:lang w:val="en-US"/>
        </w:rPr>
        <w:t>6</w:t>
      </w:r>
      <w:r>
        <w:rPr>
          <w:rFonts w:hint="eastAsia"/>
          <w:sz w:val="24"/>
          <w:szCs w:val="24"/>
          <w:lang w:val="en-US" w:eastAsia="zh-CN"/>
        </w:rPr>
        <w:t>-</w:t>
      </w:r>
    </w:p>
    <w:p>
      <w:pPr>
        <w:pStyle w:val="12"/>
        <w:tabs>
          <w:tab w:val="right" w:pos="2800"/>
          <w:tab w:val="right" w:leader="dot" w:pos="9836"/>
        </w:tabs>
        <w:spacing w:line="360" w:lineRule="exact"/>
        <w:ind w:left="440"/>
        <w:rPr>
          <w:rFonts w:hint="eastAsia" w:eastAsia="仿宋"/>
          <w:sz w:val="24"/>
          <w:szCs w:val="24"/>
          <w:lang w:val="en-US" w:eastAsia="zh-CN"/>
        </w:rPr>
      </w:pPr>
      <w:r>
        <w:fldChar w:fldCharType="begin"/>
      </w:r>
      <w:r>
        <w:instrText xml:space="preserve"> HYPERLINK \l "_Toc23586" </w:instrText>
      </w:r>
      <w:r>
        <w:fldChar w:fldCharType="separate"/>
      </w:r>
      <w:r>
        <w:rPr>
          <w:rFonts w:hint="eastAsia"/>
          <w:sz w:val="24"/>
          <w:szCs w:val="24"/>
          <w:lang w:val="en-US"/>
        </w:rPr>
        <w:t>附件2</w:t>
      </w:r>
      <w:r>
        <w:rPr>
          <w:rFonts w:hint="eastAsia"/>
          <w:sz w:val="24"/>
          <w:szCs w:val="24"/>
          <w:lang w:val="en-US"/>
        </w:rPr>
        <w:tab/>
      </w:r>
      <w:r>
        <w:rPr>
          <w:rFonts w:hint="eastAsia"/>
          <w:sz w:val="24"/>
          <w:szCs w:val="24"/>
          <w:lang w:val="en-US"/>
        </w:rPr>
        <w:t xml:space="preserve"> 法定代表人授权书</w:t>
      </w:r>
      <w:r>
        <w:rPr>
          <w:rFonts w:hint="eastAsia"/>
          <w:sz w:val="24"/>
          <w:szCs w:val="24"/>
          <w:lang w:val="en-US"/>
        </w:rPr>
        <w:tab/>
      </w:r>
      <w:r>
        <w:rPr>
          <w:rFonts w:hint="eastAsia"/>
          <w:sz w:val="24"/>
          <w:szCs w:val="24"/>
          <w:lang w:val="en-US" w:eastAsia="zh-CN"/>
        </w:rPr>
        <w:t>-</w:t>
      </w:r>
      <w:r>
        <w:rPr>
          <w:sz w:val="24"/>
          <w:szCs w:val="24"/>
          <w:lang w:val="en-US"/>
        </w:rPr>
        <w:t>20</w:t>
      </w:r>
      <w:r>
        <w:rPr>
          <w:sz w:val="24"/>
          <w:szCs w:val="24"/>
          <w:lang w:val="en-US"/>
        </w:rPr>
        <w:fldChar w:fldCharType="end"/>
      </w:r>
      <w:r>
        <w:rPr>
          <w:rFonts w:hint="eastAsia"/>
          <w:sz w:val="24"/>
          <w:szCs w:val="24"/>
          <w:lang w:val="en-US" w:eastAsia="zh-CN"/>
        </w:rPr>
        <w:t>-</w:t>
      </w:r>
    </w:p>
    <w:p>
      <w:pPr>
        <w:pStyle w:val="12"/>
        <w:tabs>
          <w:tab w:val="right" w:pos="2800"/>
          <w:tab w:val="right" w:leader="dot" w:pos="9836"/>
        </w:tabs>
        <w:spacing w:line="360" w:lineRule="exact"/>
        <w:ind w:left="440"/>
        <w:rPr>
          <w:rFonts w:hint="eastAsia" w:eastAsia="仿宋"/>
          <w:sz w:val="24"/>
          <w:szCs w:val="24"/>
          <w:lang w:val="en-US" w:eastAsia="zh-CN"/>
        </w:rPr>
      </w:pPr>
      <w:r>
        <w:fldChar w:fldCharType="begin"/>
      </w:r>
      <w:r>
        <w:instrText xml:space="preserve"> HYPERLINK \l "_Toc5642" </w:instrText>
      </w:r>
      <w:r>
        <w:fldChar w:fldCharType="separate"/>
      </w:r>
      <w:r>
        <w:rPr>
          <w:rFonts w:hint="eastAsia"/>
          <w:sz w:val="24"/>
          <w:szCs w:val="24"/>
          <w:lang w:val="en-US"/>
        </w:rPr>
        <w:t>附件3</w:t>
      </w:r>
      <w:r>
        <w:rPr>
          <w:rFonts w:hint="eastAsia"/>
          <w:sz w:val="24"/>
          <w:szCs w:val="24"/>
          <w:lang w:val="en-US"/>
        </w:rPr>
        <w:tab/>
      </w:r>
      <w:r>
        <w:rPr>
          <w:rFonts w:hint="eastAsia"/>
          <w:sz w:val="24"/>
          <w:szCs w:val="24"/>
          <w:lang w:val="en-US"/>
        </w:rPr>
        <w:t xml:space="preserve"> 1类A采购单/1类B采购单/2类B采购单报价表</w:t>
      </w:r>
      <w:r>
        <w:rPr>
          <w:rFonts w:hint="eastAsia"/>
          <w:sz w:val="24"/>
          <w:szCs w:val="24"/>
          <w:lang w:val="en-US"/>
        </w:rPr>
        <w:tab/>
      </w:r>
      <w:r>
        <w:rPr>
          <w:rFonts w:hint="eastAsia"/>
          <w:sz w:val="24"/>
          <w:szCs w:val="24"/>
          <w:lang w:val="en-US" w:eastAsia="zh-CN"/>
        </w:rPr>
        <w:t>-</w:t>
      </w:r>
      <w:r>
        <w:rPr>
          <w:rFonts w:hint="eastAsia"/>
          <w:sz w:val="24"/>
          <w:szCs w:val="24"/>
          <w:lang w:val="en-US"/>
        </w:rPr>
        <w:t>2</w:t>
      </w:r>
      <w:r>
        <w:rPr>
          <w:sz w:val="24"/>
          <w:szCs w:val="24"/>
          <w:lang w:val="en-US"/>
        </w:rPr>
        <w:t>2</w:t>
      </w:r>
      <w:r>
        <w:rPr>
          <w:sz w:val="24"/>
          <w:szCs w:val="24"/>
          <w:lang w:val="en-US"/>
        </w:rPr>
        <w:fldChar w:fldCharType="end"/>
      </w:r>
      <w:r>
        <w:rPr>
          <w:rFonts w:hint="eastAsia"/>
          <w:sz w:val="24"/>
          <w:szCs w:val="24"/>
          <w:lang w:val="en-US" w:eastAsia="zh-CN"/>
        </w:rPr>
        <w:t>-</w:t>
      </w:r>
    </w:p>
    <w:p>
      <w:pPr>
        <w:pStyle w:val="12"/>
        <w:tabs>
          <w:tab w:val="right" w:pos="2800"/>
          <w:tab w:val="right" w:leader="dot" w:pos="9836"/>
        </w:tabs>
        <w:spacing w:line="360" w:lineRule="exact"/>
        <w:ind w:left="440"/>
        <w:rPr>
          <w:rFonts w:hint="eastAsia" w:eastAsia="仿宋"/>
          <w:sz w:val="24"/>
          <w:szCs w:val="24"/>
          <w:lang w:val="en-US" w:eastAsia="zh-CN"/>
        </w:rPr>
      </w:pPr>
      <w:r>
        <w:fldChar w:fldCharType="begin"/>
      </w:r>
      <w:r>
        <w:instrText xml:space="preserve"> HYPERLINK \l "_Toc5642" </w:instrText>
      </w:r>
      <w:r>
        <w:fldChar w:fldCharType="separate"/>
      </w:r>
      <w:r>
        <w:rPr>
          <w:rFonts w:hint="eastAsia"/>
          <w:sz w:val="24"/>
          <w:szCs w:val="24"/>
          <w:lang w:val="en-US"/>
        </w:rPr>
        <w:t>附件4 头孢氨苄药品联盟地区集团带量采购购销合同</w:t>
      </w:r>
      <w:r>
        <w:rPr>
          <w:rFonts w:hint="eastAsia"/>
          <w:sz w:val="24"/>
          <w:szCs w:val="24"/>
          <w:lang w:val="en-US"/>
        </w:rPr>
        <w:tab/>
      </w:r>
      <w:r>
        <w:rPr>
          <w:rFonts w:hint="eastAsia"/>
          <w:sz w:val="24"/>
          <w:szCs w:val="24"/>
          <w:lang w:val="en-US" w:eastAsia="zh-CN"/>
        </w:rPr>
        <w:t>-</w:t>
      </w:r>
      <w:r>
        <w:rPr>
          <w:rFonts w:hint="eastAsia"/>
          <w:sz w:val="24"/>
          <w:szCs w:val="24"/>
          <w:lang w:val="en-US"/>
        </w:rPr>
        <w:t>2</w:t>
      </w:r>
      <w:r>
        <w:rPr>
          <w:sz w:val="24"/>
          <w:szCs w:val="24"/>
          <w:lang w:val="en-US"/>
        </w:rPr>
        <w:t>3</w:t>
      </w:r>
      <w:r>
        <w:rPr>
          <w:sz w:val="24"/>
          <w:szCs w:val="24"/>
          <w:lang w:val="en-US"/>
        </w:rPr>
        <w:fldChar w:fldCharType="end"/>
      </w:r>
      <w:r>
        <w:rPr>
          <w:rFonts w:hint="eastAsia"/>
          <w:sz w:val="24"/>
          <w:szCs w:val="24"/>
          <w:lang w:val="en-US" w:eastAsia="zh-CN"/>
        </w:rPr>
        <w:t>-</w:t>
      </w:r>
    </w:p>
    <w:p>
      <w:pPr>
        <w:pStyle w:val="12"/>
        <w:tabs>
          <w:tab w:val="right" w:pos="2800"/>
          <w:tab w:val="right" w:leader="dot" w:pos="9836"/>
        </w:tabs>
        <w:spacing w:line="360" w:lineRule="exact"/>
        <w:ind w:left="440"/>
        <w:rPr>
          <w:rFonts w:hint="eastAsia" w:eastAsia="仿宋"/>
          <w:sz w:val="24"/>
          <w:szCs w:val="24"/>
          <w:lang w:val="en-US" w:eastAsia="zh-CN"/>
        </w:rPr>
      </w:pPr>
      <w:r>
        <w:fldChar w:fldCharType="begin"/>
      </w:r>
      <w:r>
        <w:instrText xml:space="preserve"> HYPERLINK \l "_Toc14622" </w:instrText>
      </w:r>
      <w:r>
        <w:fldChar w:fldCharType="separate"/>
      </w:r>
      <w:r>
        <w:rPr>
          <w:sz w:val="24"/>
          <w:szCs w:val="24"/>
        </w:rPr>
        <w:t>附</w:t>
      </w:r>
      <w:r>
        <w:rPr>
          <w:rFonts w:hint="eastAsia"/>
          <w:sz w:val="24"/>
          <w:szCs w:val="24"/>
          <w:lang w:val="en-US"/>
        </w:rPr>
        <w:t xml:space="preserve">表1 </w:t>
      </w:r>
      <w:r>
        <w:rPr>
          <w:sz w:val="24"/>
          <w:szCs w:val="24"/>
        </w:rPr>
        <w:tab/>
      </w:r>
      <w:r>
        <w:rPr>
          <w:rFonts w:hint="eastAsia"/>
          <w:sz w:val="24"/>
          <w:szCs w:val="24"/>
          <w:lang w:val="en-US"/>
        </w:rPr>
        <w:t>头孢氨苄1类A采购单明细表（联盟地区）</w:t>
      </w:r>
      <w:r>
        <w:rPr>
          <w:sz w:val="24"/>
          <w:szCs w:val="24"/>
        </w:rPr>
        <w:tab/>
      </w:r>
      <w:r>
        <w:rPr>
          <w:rFonts w:hint="eastAsia"/>
          <w:sz w:val="24"/>
          <w:szCs w:val="24"/>
          <w:lang w:val="en-US" w:eastAsia="zh-CN"/>
        </w:rPr>
        <w:t>-</w:t>
      </w:r>
      <w:r>
        <w:rPr>
          <w:sz w:val="24"/>
          <w:szCs w:val="24"/>
          <w:lang w:val="en-US"/>
        </w:rPr>
        <w:t>3</w:t>
      </w:r>
      <w:r>
        <w:rPr>
          <w:sz w:val="24"/>
          <w:szCs w:val="24"/>
          <w:lang w:val="en-US"/>
        </w:rPr>
        <w:fldChar w:fldCharType="end"/>
      </w:r>
      <w:r>
        <w:rPr>
          <w:sz w:val="24"/>
          <w:szCs w:val="24"/>
          <w:lang w:val="en-US"/>
        </w:rPr>
        <w:t>1</w:t>
      </w:r>
      <w:r>
        <w:rPr>
          <w:rFonts w:hint="eastAsia"/>
          <w:sz w:val="24"/>
          <w:szCs w:val="24"/>
          <w:lang w:val="en-US" w:eastAsia="zh-CN"/>
        </w:rPr>
        <w:t>-</w:t>
      </w:r>
    </w:p>
    <w:p>
      <w:pPr>
        <w:pStyle w:val="12"/>
        <w:tabs>
          <w:tab w:val="right" w:pos="2800"/>
          <w:tab w:val="right" w:leader="dot" w:pos="9836"/>
        </w:tabs>
        <w:spacing w:line="360" w:lineRule="exact"/>
        <w:ind w:left="440"/>
        <w:rPr>
          <w:sz w:val="24"/>
          <w:szCs w:val="24"/>
        </w:rPr>
      </w:pPr>
      <w:r>
        <w:fldChar w:fldCharType="begin"/>
      </w:r>
      <w:r>
        <w:instrText xml:space="preserve"> HYPERLINK \l "_Toc22352" </w:instrText>
      </w:r>
      <w:r>
        <w:fldChar w:fldCharType="separate"/>
      </w:r>
      <w:r>
        <w:rPr>
          <w:sz w:val="24"/>
          <w:szCs w:val="24"/>
        </w:rPr>
        <w:t>附</w:t>
      </w:r>
      <w:r>
        <w:rPr>
          <w:rFonts w:hint="eastAsia"/>
          <w:sz w:val="24"/>
          <w:szCs w:val="24"/>
          <w:lang w:val="en-US"/>
        </w:rPr>
        <w:t>表2</w:t>
      </w:r>
      <w:r>
        <w:rPr>
          <w:sz w:val="24"/>
          <w:szCs w:val="24"/>
        </w:rPr>
        <w:tab/>
      </w:r>
      <w:r>
        <w:rPr>
          <w:rFonts w:hint="eastAsia"/>
          <w:sz w:val="24"/>
          <w:szCs w:val="24"/>
          <w:lang w:val="en-US"/>
        </w:rPr>
        <w:t xml:space="preserve"> 头孢氨苄1类B采购单明细表（联盟地区）</w:t>
      </w:r>
      <w:r>
        <w:rPr>
          <w:sz w:val="24"/>
          <w:szCs w:val="24"/>
        </w:rPr>
        <w:tab/>
      </w:r>
      <w:r>
        <w:rPr>
          <w:rFonts w:hint="eastAsia"/>
          <w:sz w:val="24"/>
          <w:szCs w:val="24"/>
          <w:lang w:val="en-US" w:eastAsia="zh-CN"/>
        </w:rPr>
        <w:t>-</w:t>
      </w:r>
      <w:r>
        <w:rPr>
          <w:sz w:val="24"/>
          <w:szCs w:val="24"/>
          <w:lang w:val="en-US"/>
        </w:rPr>
        <w:t>3</w:t>
      </w:r>
      <w:r>
        <w:rPr>
          <w:sz w:val="24"/>
          <w:szCs w:val="24"/>
          <w:lang w:val="en-US"/>
        </w:rPr>
        <w:fldChar w:fldCharType="end"/>
      </w:r>
      <w:r>
        <w:rPr>
          <w:sz w:val="24"/>
          <w:szCs w:val="24"/>
          <w:lang w:val="en-US"/>
        </w:rPr>
        <w:t>2</w:t>
      </w:r>
      <w:r>
        <w:rPr>
          <w:rFonts w:hint="eastAsia"/>
          <w:sz w:val="24"/>
          <w:szCs w:val="24"/>
        </w:rPr>
        <w:fldChar w:fldCharType="end"/>
      </w:r>
      <w:sdt>
        <w:sdtPr>
          <w:rPr>
            <w:sz w:val="24"/>
            <w:szCs w:val="24"/>
          </w:rPr>
          <w:id w:val="1388455899"/>
          <w:docPartObj>
            <w:docPartGallery w:val="Table of Contents"/>
            <w:docPartUnique/>
          </w:docPartObj>
        </w:sdtPr>
        <w:sdtEndPr>
          <w:rPr>
            <w:sz w:val="24"/>
            <w:szCs w:val="24"/>
          </w:rPr>
        </w:sdtEndPr>
        <w:sdtContent>
          <w:r>
            <w:rPr>
              <w:rFonts w:hint="eastAsia"/>
              <w:sz w:val="24"/>
              <w:szCs w:val="24"/>
              <w:lang w:eastAsia="zh-CN"/>
            </w:rPr>
            <w:t>-</w:t>
          </w:r>
        </w:sdtContent>
      </w:sdt>
    </w:p>
    <w:p>
      <w:pPr>
        <w:pStyle w:val="12"/>
        <w:tabs>
          <w:tab w:val="right" w:pos="2800"/>
          <w:tab w:val="right" w:leader="dot" w:pos="9836"/>
        </w:tabs>
        <w:spacing w:line="360" w:lineRule="exact"/>
        <w:ind w:left="440"/>
        <w:rPr>
          <w:rFonts w:hint="eastAsia" w:eastAsia="仿宋"/>
          <w:sz w:val="24"/>
          <w:szCs w:val="24"/>
          <w:lang w:val="en-US" w:eastAsia="zh-CN"/>
        </w:rPr>
      </w:pPr>
      <w:r>
        <w:fldChar w:fldCharType="begin"/>
      </w:r>
      <w:r>
        <w:instrText xml:space="preserve"> HYPERLINK \l "_Toc14622" </w:instrText>
      </w:r>
      <w:r>
        <w:fldChar w:fldCharType="separate"/>
      </w:r>
      <w:r>
        <w:rPr>
          <w:sz w:val="24"/>
          <w:szCs w:val="24"/>
        </w:rPr>
        <w:t>附</w:t>
      </w:r>
      <w:r>
        <w:rPr>
          <w:rFonts w:hint="eastAsia"/>
          <w:sz w:val="24"/>
          <w:szCs w:val="24"/>
          <w:lang w:val="en-US"/>
        </w:rPr>
        <w:t xml:space="preserve">表3 </w:t>
      </w:r>
      <w:r>
        <w:rPr>
          <w:sz w:val="24"/>
          <w:szCs w:val="24"/>
        </w:rPr>
        <w:tab/>
      </w:r>
      <w:r>
        <w:rPr>
          <w:rFonts w:hint="eastAsia"/>
          <w:sz w:val="24"/>
          <w:szCs w:val="24"/>
          <w:lang w:val="en-US"/>
        </w:rPr>
        <w:t>头孢氨苄2类B采购单明细表（联盟地区）</w:t>
      </w:r>
      <w:r>
        <w:rPr>
          <w:sz w:val="24"/>
          <w:szCs w:val="24"/>
        </w:rPr>
        <w:tab/>
      </w:r>
      <w:r>
        <w:rPr>
          <w:rFonts w:hint="eastAsia"/>
          <w:sz w:val="24"/>
          <w:szCs w:val="24"/>
          <w:lang w:val="en-US" w:eastAsia="zh-CN"/>
        </w:rPr>
        <w:t>-</w:t>
      </w:r>
      <w:r>
        <w:rPr>
          <w:sz w:val="24"/>
          <w:szCs w:val="24"/>
          <w:lang w:val="en-US"/>
        </w:rPr>
        <w:t>3</w:t>
      </w:r>
      <w:r>
        <w:rPr>
          <w:sz w:val="24"/>
          <w:szCs w:val="24"/>
          <w:lang w:val="en-US"/>
        </w:rPr>
        <w:fldChar w:fldCharType="end"/>
      </w:r>
      <w:r>
        <w:rPr>
          <w:sz w:val="24"/>
          <w:szCs w:val="24"/>
          <w:lang w:val="en-US"/>
        </w:rPr>
        <w:t>9</w:t>
      </w:r>
      <w:r>
        <w:rPr>
          <w:rFonts w:hint="eastAsia"/>
          <w:sz w:val="24"/>
          <w:szCs w:val="24"/>
          <w:lang w:val="en-US" w:eastAsia="zh-CN"/>
        </w:rPr>
        <w:t>-</w:t>
      </w:r>
    </w:p>
    <w:p>
      <w:pPr>
        <w:sectPr>
          <w:pgSz w:w="11910" w:h="16840"/>
          <w:pgMar w:top="1580" w:right="1040" w:bottom="280" w:left="1300" w:header="720" w:footer="720" w:gutter="0"/>
          <w:pgNumType w:fmt="numberInDash" w:start="1"/>
          <w:cols w:space="720" w:num="1"/>
        </w:sectPr>
      </w:pPr>
    </w:p>
    <w:p>
      <w:pPr>
        <w:keepNext/>
        <w:keepLines/>
        <w:widowControl/>
        <w:autoSpaceDE/>
        <w:autoSpaceDN/>
        <w:spacing w:after="160" w:line="560" w:lineRule="exact"/>
        <w:jc w:val="center"/>
        <w:outlineLvl w:val="0"/>
        <w:rPr>
          <w:rFonts w:ascii="Arial" w:hAnsi="Arial" w:cs="Times New Roman"/>
          <w:b/>
          <w:kern w:val="44"/>
          <w:sz w:val="36"/>
          <w:szCs w:val="36"/>
          <w:lang w:val="en-US" w:bidi="ar-SA"/>
        </w:rPr>
      </w:pPr>
      <w:bookmarkStart w:id="0" w:name="_bookmark0"/>
      <w:bookmarkEnd w:id="0"/>
      <w:bookmarkStart w:id="1" w:name="第一部分_采购邀请"/>
      <w:bookmarkEnd w:id="1"/>
      <w:bookmarkStart w:id="2" w:name="_Toc17748575"/>
      <w:r>
        <w:rPr>
          <w:rFonts w:hint="eastAsia" w:ascii="华文中宋" w:hAnsi="华文中宋" w:eastAsia="华文中宋" w:cs="华文中宋"/>
          <w:b w:val="0"/>
          <w:bCs/>
          <w:kern w:val="44"/>
          <w:sz w:val="36"/>
          <w:szCs w:val="36"/>
          <w:lang w:val="en-US" w:bidi="ar-SA"/>
        </w:rPr>
        <w:t>第一部分 采购邀请</w:t>
      </w:r>
      <w:bookmarkEnd w:id="2"/>
    </w:p>
    <w:p>
      <w:pPr>
        <w:pStyle w:val="7"/>
        <w:spacing w:before="219" w:line="600" w:lineRule="exact"/>
        <w:ind w:left="113" w:firstLine="600" w:firstLineChars="200"/>
      </w:pPr>
      <w:r>
        <w:rPr>
          <w:rFonts w:hint="eastAsia"/>
        </w:rPr>
        <w:t>为满足医疗机构</w:t>
      </w:r>
      <w:r>
        <w:rPr>
          <w:rFonts w:hint="eastAsia"/>
          <w:lang w:val="en-US"/>
        </w:rPr>
        <w:t>药品</w:t>
      </w:r>
      <w:r>
        <w:rPr>
          <w:rFonts w:hint="eastAsia"/>
        </w:rPr>
        <w:t>采购需求，促进产品形成合理市场价格，按照</w:t>
      </w:r>
      <w:r>
        <w:rPr>
          <w:rFonts w:hint="eastAsia"/>
          <w:lang w:eastAsia="zh-CN"/>
        </w:rPr>
        <w:t>《</w:t>
      </w:r>
      <w:r>
        <w:rPr>
          <w:rFonts w:hint="eastAsia"/>
        </w:rPr>
        <w:t>广东省医疗保障局关于做好药品和医用耗材采购工作的指导意见</w:t>
      </w:r>
      <w:r>
        <w:rPr>
          <w:rFonts w:hint="eastAsia"/>
          <w:lang w:eastAsia="zh-CN"/>
        </w:rPr>
        <w:t>》</w:t>
      </w:r>
      <w:r>
        <w:rPr>
          <w:rFonts w:hint="eastAsia"/>
        </w:rPr>
        <w:t>（粤医保规〔2020〕2号）的精神，广东省药品交易中心有限公司（以下简称“省药交中心”）开展</w:t>
      </w:r>
      <w:r>
        <w:rPr>
          <w:rFonts w:hint="eastAsia"/>
          <w:lang w:val="en-US"/>
        </w:rPr>
        <w:t>头孢氨苄药品</w:t>
      </w:r>
      <w:r>
        <w:rPr>
          <w:rFonts w:hint="eastAsia"/>
        </w:rPr>
        <w:t>集团带量采购工作，现邀请符合要求的企业前来申报。</w:t>
      </w:r>
    </w:p>
    <w:p>
      <w:pPr>
        <w:autoSpaceDE/>
        <w:autoSpaceDN/>
        <w:spacing w:line="600" w:lineRule="exact"/>
        <w:ind w:firstLine="600" w:firstLineChars="200"/>
        <w:jc w:val="both"/>
        <w:rPr>
          <w:rFonts w:ascii="黑体" w:hAnsi="黑体" w:eastAsia="黑体" w:cs="Times New Roman"/>
          <w:kern w:val="2"/>
          <w:sz w:val="30"/>
          <w:szCs w:val="30"/>
          <w:lang w:val="en-US" w:bidi="ar-SA"/>
        </w:rPr>
      </w:pPr>
      <w:r>
        <w:rPr>
          <w:rFonts w:hint="eastAsia" w:ascii="黑体" w:hAnsi="黑体" w:eastAsia="黑体" w:cs="Times New Roman"/>
          <w:kern w:val="2"/>
          <w:sz w:val="30"/>
          <w:szCs w:val="30"/>
          <w:lang w:val="en-US" w:bidi="ar-SA"/>
        </w:rPr>
        <w:t>一、参与采购主体</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本次参与采购的主体为所有公立医疗机构（含驻粤军队医疗机构，下同），以及医保定点社会办医疗机构和定点零售药店。</w:t>
      </w:r>
    </w:p>
    <w:p>
      <w:pPr>
        <w:autoSpaceDE/>
        <w:autoSpaceDN/>
        <w:spacing w:line="560" w:lineRule="exact"/>
        <w:ind w:firstLine="600" w:firstLineChars="200"/>
        <w:jc w:val="both"/>
        <w:rPr>
          <w:rFonts w:ascii="黑体" w:hAnsi="黑体" w:eastAsia="黑体" w:cs="Times New Roman"/>
          <w:kern w:val="2"/>
          <w:sz w:val="30"/>
          <w:szCs w:val="30"/>
          <w:lang w:val="en-US" w:bidi="ar-SA"/>
        </w:rPr>
      </w:pPr>
      <w:r>
        <w:rPr>
          <w:rFonts w:hint="eastAsia" w:ascii="黑体" w:hAnsi="黑体" w:eastAsia="黑体" w:cs="Times New Roman"/>
          <w:kern w:val="2"/>
          <w:sz w:val="30"/>
          <w:szCs w:val="30"/>
          <w:lang w:val="en-US" w:bidi="ar-SA"/>
        </w:rPr>
        <w:t>二、品种范围</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本次集团带量采购的药品是头孢氨苄，包含口服常释剂型、口服液体剂、颗粒剂、泡腾片、缓释控释剂型。</w:t>
      </w:r>
    </w:p>
    <w:p>
      <w:pPr>
        <w:autoSpaceDE/>
        <w:autoSpaceDN/>
        <w:spacing w:line="560" w:lineRule="exact"/>
        <w:ind w:firstLine="600" w:firstLineChars="200"/>
        <w:jc w:val="both"/>
        <w:rPr>
          <w:rFonts w:ascii="黑体" w:hAnsi="黑体" w:eastAsia="黑体" w:cs="Times New Roman"/>
          <w:kern w:val="2"/>
          <w:sz w:val="30"/>
          <w:szCs w:val="30"/>
          <w:lang w:val="en-US" w:bidi="ar-SA"/>
        </w:rPr>
      </w:pPr>
      <w:bookmarkStart w:id="3" w:name="_Toc17748577"/>
      <w:bookmarkStart w:id="4" w:name="_Toc3139"/>
      <w:r>
        <w:rPr>
          <w:rFonts w:hint="eastAsia" w:ascii="黑体" w:hAnsi="黑体" w:eastAsia="黑体" w:cs="Times New Roman"/>
          <w:kern w:val="2"/>
          <w:sz w:val="30"/>
          <w:szCs w:val="30"/>
          <w:lang w:val="en-US" w:bidi="ar-SA"/>
        </w:rPr>
        <w:t>三、采购周期和采购协议</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（一）本次头孢氨苄药品联盟带量采购周期至2023年6月30日，自中选结果实际执行日起计算。</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（二）在采购周期内，每年签订采购协议。续签采购协议时，协议采购量原则上不少于该中选产品上年协议采购量。</w:t>
      </w:r>
    </w:p>
    <w:p>
      <w:pPr>
        <w:autoSpaceDE/>
        <w:autoSpaceDN/>
        <w:spacing w:line="560" w:lineRule="exact"/>
        <w:ind w:firstLine="600" w:firstLineChars="200"/>
        <w:jc w:val="both"/>
        <w:rPr>
          <w:rFonts w:hint="eastAsia" w:cs="Times New Roman"/>
          <w:kern w:val="2"/>
          <w:sz w:val="30"/>
          <w:szCs w:val="30"/>
          <w:lang w:val="en-US" w:bidi="ar-SA"/>
        </w:rPr>
      </w:pPr>
      <w:r>
        <w:rPr>
          <w:rFonts w:hint="eastAsia" w:cs="Times New Roman"/>
          <w:kern w:val="2"/>
          <w:sz w:val="30"/>
          <w:szCs w:val="30"/>
          <w:lang w:val="en-US" w:bidi="ar-SA"/>
        </w:rPr>
        <w:t>（三）采购周期内医疗机构若提前完成当年协议采购量，超出协议采购量的部分，优先采购中选产品，中选企业仍需按中选价格进行供应，直至采购周期届满。</w:t>
      </w:r>
    </w:p>
    <w:p>
      <w:pPr>
        <w:autoSpaceDE/>
        <w:autoSpaceDN/>
        <w:spacing w:line="560" w:lineRule="exact"/>
        <w:ind w:firstLine="600" w:firstLineChars="200"/>
        <w:jc w:val="both"/>
        <w:rPr>
          <w:rFonts w:ascii="Arial" w:hAnsi="Arial" w:eastAsia="黑体" w:cs="Times New Roman"/>
          <w:kern w:val="2"/>
          <w:sz w:val="30"/>
          <w:szCs w:val="30"/>
          <w:lang w:val="en-US" w:bidi="ar-SA"/>
        </w:rPr>
      </w:pPr>
      <w:r>
        <w:rPr>
          <w:rFonts w:hint="eastAsia" w:ascii="Arial" w:hAnsi="Arial" w:eastAsia="黑体" w:cs="Times New Roman"/>
          <w:kern w:val="2"/>
          <w:sz w:val="30"/>
          <w:szCs w:val="30"/>
          <w:lang w:val="en-US" w:bidi="ar-SA"/>
        </w:rPr>
        <w:t>四、申报资格</w:t>
      </w:r>
      <w:bookmarkEnd w:id="3"/>
      <w:bookmarkEnd w:id="4"/>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符合以下申报要求的企业须在规定时间提交申报材料，未提交的，将影响该企业所涉及药品在本省范围内的药品集团带量采购活动。</w:t>
      </w:r>
    </w:p>
    <w:p>
      <w:pPr>
        <w:autoSpaceDE/>
        <w:autoSpaceDN/>
        <w:spacing w:line="560" w:lineRule="exact"/>
        <w:ind w:firstLine="602" w:firstLineChars="200"/>
        <w:jc w:val="both"/>
        <w:rPr>
          <w:rFonts w:cs="Times New Roman"/>
          <w:b/>
          <w:bCs/>
          <w:kern w:val="2"/>
          <w:sz w:val="30"/>
          <w:szCs w:val="30"/>
          <w:lang w:val="en-US" w:bidi="ar-SA"/>
        </w:rPr>
      </w:pPr>
      <w:r>
        <w:rPr>
          <w:rFonts w:hint="eastAsia" w:cs="Times New Roman"/>
          <w:b/>
          <w:bCs/>
          <w:kern w:val="2"/>
          <w:sz w:val="30"/>
          <w:szCs w:val="30"/>
          <w:lang w:val="en-US" w:bidi="ar-SA"/>
        </w:rPr>
        <w:t>（一）申报企业资格</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提供药品及伴随服务的国内药品生产企业，药品上市许可持有人，境外上市许可持有人在境内的全权代理人。</w:t>
      </w:r>
    </w:p>
    <w:p>
      <w:pPr>
        <w:autoSpaceDE/>
        <w:autoSpaceDN/>
        <w:spacing w:line="560" w:lineRule="exact"/>
        <w:ind w:firstLine="602" w:firstLineChars="200"/>
        <w:jc w:val="both"/>
        <w:rPr>
          <w:rFonts w:cs="Times New Roman"/>
          <w:b/>
          <w:bCs/>
          <w:kern w:val="2"/>
          <w:sz w:val="30"/>
          <w:szCs w:val="30"/>
          <w:lang w:val="en-US" w:bidi="ar-SA"/>
        </w:rPr>
      </w:pPr>
      <w:r>
        <w:rPr>
          <w:rFonts w:hint="eastAsia" w:cs="Times New Roman"/>
          <w:b/>
          <w:bCs/>
          <w:kern w:val="2"/>
          <w:sz w:val="30"/>
          <w:szCs w:val="30"/>
          <w:lang w:val="en-US" w:bidi="ar-SA"/>
        </w:rPr>
        <w:t>（二）申报品种资格</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1.属本次头孢氨苄药品集团带量采购范围内获得国内有效注册批件尚</w:t>
      </w:r>
      <w:r>
        <w:rPr>
          <w:rFonts w:hint="eastAsia" w:ascii="Arial" w:hAnsi="Arial" w:cs="Times New Roman"/>
          <w:kern w:val="2"/>
          <w:sz w:val="30"/>
          <w:szCs w:val="30"/>
          <w:lang w:val="en-US" w:bidi="ar-SA"/>
        </w:rPr>
        <w:t>未通过一致性评价</w:t>
      </w:r>
      <w:r>
        <w:rPr>
          <w:rFonts w:hint="eastAsia" w:cs="Times New Roman"/>
          <w:kern w:val="2"/>
          <w:sz w:val="30"/>
          <w:szCs w:val="30"/>
          <w:lang w:val="en-US" w:bidi="ar-SA"/>
        </w:rPr>
        <w:t>的上市药品。根据《国务院办公厅关于开展仿制药质量和疗效一致性评价的意见》（国办发〔2016〕8号）和《国务院办公厅关于推动药品集中带量采购工作常态化制度化开展的意见》（国办发〔2021〕2号）要求，头孢氨苄胶囊剂</w:t>
      </w:r>
      <w:r>
        <w:rPr>
          <w:rFonts w:hint="eastAsia" w:ascii="Arial" w:hAnsi="Arial" w:cs="Times New Roman"/>
          <w:kern w:val="2"/>
          <w:sz w:val="30"/>
          <w:szCs w:val="30"/>
          <w:lang w:val="en-US" w:bidi="ar-SA"/>
        </w:rPr>
        <w:t>通过一致性评价的仿制药数量超过3个，未通过一致性评价的</w:t>
      </w:r>
      <w:r>
        <w:rPr>
          <w:rFonts w:hint="eastAsia" w:cs="Times New Roman"/>
          <w:kern w:val="2"/>
          <w:sz w:val="30"/>
          <w:szCs w:val="30"/>
          <w:lang w:val="en-US" w:bidi="ar-SA"/>
        </w:rPr>
        <w:t>头孢氨苄胶囊剂不符合申报资格。</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2.属本次头孢氨苄药品集团带量采购范围内获得国内有效注册批件已</w:t>
      </w:r>
      <w:r>
        <w:rPr>
          <w:rFonts w:hint="eastAsia" w:ascii="Arial" w:hAnsi="Arial" w:cs="Times New Roman"/>
          <w:kern w:val="2"/>
          <w:sz w:val="30"/>
          <w:szCs w:val="30"/>
          <w:lang w:val="en-US" w:bidi="ar-SA"/>
        </w:rPr>
        <w:t>通过一致性评价</w:t>
      </w:r>
      <w:r>
        <w:rPr>
          <w:rFonts w:hint="eastAsia" w:cs="Times New Roman"/>
          <w:kern w:val="2"/>
          <w:sz w:val="30"/>
          <w:szCs w:val="30"/>
          <w:lang w:val="en-US" w:bidi="ar-SA"/>
        </w:rPr>
        <w:t>的上市药品以及满足以下要求之一的：</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（1）原研药及国家药品监督管理局发布的仿制药质量和疗效一致性评价参比制剂。</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（2）通过国家药品监督管理局仿制药质量和疗效一致性评价的仿制药品。</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（3）根据《国家食品药品监督管理总局关于发布化学药品注册分类改革工作方案的公告》〔2016 年第 51 号〕，按化学药品新注册分类批准的仿制药品。</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（4）纳入《中国上市药品目录集》的药品。</w:t>
      </w:r>
    </w:p>
    <w:p>
      <w:pPr>
        <w:autoSpaceDE/>
        <w:autoSpaceDN/>
        <w:spacing w:line="560" w:lineRule="exact"/>
        <w:ind w:firstLine="602" w:firstLineChars="200"/>
        <w:jc w:val="both"/>
        <w:rPr>
          <w:rFonts w:cs="Times New Roman"/>
          <w:b/>
          <w:bCs/>
          <w:kern w:val="2"/>
          <w:sz w:val="30"/>
          <w:szCs w:val="30"/>
          <w:lang w:val="en-US" w:bidi="ar-SA"/>
        </w:rPr>
      </w:pPr>
      <w:r>
        <w:rPr>
          <w:rFonts w:hint="eastAsia" w:cs="Times New Roman"/>
          <w:b/>
          <w:bCs/>
          <w:kern w:val="2"/>
          <w:sz w:val="30"/>
          <w:szCs w:val="30"/>
          <w:lang w:val="en-US" w:bidi="ar-SA"/>
        </w:rPr>
        <w:t>（三）其他申报要求</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1.申报企业须确保在采购周期内满足联盟地区采购主体预采购量的需求。</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2.申报企业“供应清单”应包含采购产品清单内本企业生产的所有符合申报品种资格的规格。</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3.申报企业应遵守《专利法》、《反不正当竞争法》等相关法律法规，并承担相应法律责任。</w:t>
      </w:r>
    </w:p>
    <w:p>
      <w:pPr>
        <w:pStyle w:val="18"/>
        <w:tabs>
          <w:tab w:val="left" w:pos="1016"/>
        </w:tabs>
        <w:spacing w:before="5" w:line="600" w:lineRule="exact"/>
        <w:ind w:left="0" w:right="408" w:firstLine="612" w:firstLineChars="200"/>
        <w:rPr>
          <w:sz w:val="30"/>
        </w:rPr>
      </w:pPr>
      <w:r>
        <w:rPr>
          <w:rFonts w:hint="eastAsia"/>
          <w:spacing w:val="3"/>
          <w:sz w:val="30"/>
          <w:lang w:val="en-US"/>
        </w:rPr>
        <w:t>4.</w:t>
      </w:r>
      <w:r>
        <w:rPr>
          <w:spacing w:val="3"/>
          <w:sz w:val="30"/>
        </w:rPr>
        <w:t>申报药品应当符合国家药品标准和经国家药品监督管理部门核准的药品质量标准</w:t>
      </w:r>
      <w:r>
        <w:rPr>
          <w:sz w:val="30"/>
        </w:rPr>
        <w:t>。</w:t>
      </w:r>
    </w:p>
    <w:p>
      <w:pPr>
        <w:autoSpaceDE/>
        <w:autoSpaceDN/>
        <w:spacing w:line="560" w:lineRule="exact"/>
        <w:ind w:firstLine="600" w:firstLineChars="200"/>
        <w:jc w:val="both"/>
        <w:rPr>
          <w:rFonts w:ascii="黑体" w:hAnsi="黑体" w:eastAsia="黑体" w:cs="Times New Roman"/>
          <w:kern w:val="2"/>
          <w:sz w:val="30"/>
          <w:szCs w:val="30"/>
          <w:lang w:val="en-US" w:bidi="ar-SA"/>
        </w:rPr>
      </w:pPr>
      <w:r>
        <w:rPr>
          <w:rFonts w:hint="eastAsia" w:ascii="黑体" w:hAnsi="黑体" w:eastAsia="黑体" w:cs="Times New Roman"/>
          <w:kern w:val="2"/>
          <w:sz w:val="30"/>
          <w:szCs w:val="30"/>
          <w:lang w:val="en-US" w:bidi="ar-SA"/>
        </w:rPr>
        <w:t>五、采购产品清单</w:t>
      </w:r>
    </w:p>
    <w:p>
      <w:pPr>
        <w:autoSpaceDE/>
        <w:autoSpaceDN/>
        <w:spacing w:line="560" w:lineRule="exact"/>
        <w:ind w:firstLine="600" w:firstLineChars="200"/>
        <w:jc w:val="both"/>
        <w:rPr>
          <w:rFonts w:ascii="Arial" w:hAnsi="Arial" w:cs="Times New Roman"/>
          <w:kern w:val="2"/>
          <w:sz w:val="30"/>
          <w:szCs w:val="30"/>
          <w:lang w:val="en-US" w:bidi="ar-SA"/>
        </w:rPr>
      </w:pPr>
      <w:r>
        <w:rPr>
          <w:rFonts w:hint="eastAsia" w:ascii="Arial" w:hAnsi="Arial" w:cs="Times New Roman"/>
          <w:kern w:val="2"/>
          <w:sz w:val="30"/>
          <w:szCs w:val="30"/>
          <w:lang w:val="en-US" w:bidi="ar-SA"/>
        </w:rPr>
        <w:t>采购产品分为两类：1类是指头孢氨苄口服常释剂型、口服液体剂、颗粒剂、泡腾片；2类是指头孢氨苄缓释控释剂型。</w:t>
      </w:r>
    </w:p>
    <w:p>
      <w:pPr>
        <w:autoSpaceDE/>
        <w:autoSpaceDN/>
        <w:spacing w:line="560" w:lineRule="exact"/>
        <w:ind w:firstLine="600" w:firstLineChars="200"/>
        <w:jc w:val="both"/>
        <w:rPr>
          <w:rFonts w:ascii="Arial" w:hAnsi="Arial" w:cs="Times New Roman"/>
          <w:kern w:val="2"/>
          <w:sz w:val="30"/>
          <w:szCs w:val="30"/>
          <w:lang w:val="en-US" w:bidi="ar-SA"/>
        </w:rPr>
      </w:pPr>
      <w:r>
        <w:rPr>
          <w:rFonts w:hint="eastAsia" w:ascii="Arial" w:hAnsi="Arial" w:cs="Times New Roman"/>
          <w:kern w:val="2"/>
          <w:sz w:val="30"/>
          <w:szCs w:val="30"/>
          <w:lang w:val="en-US" w:bidi="ar-SA"/>
        </w:rPr>
        <w:t>每类采购清单分为A、B采购单：A采购单是指通过一致性评价的仿制药、原研药和参比制剂；B采购单是指未通过一致性评价的仿制药（除胶囊剂外）。</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符合上述</w:t>
      </w:r>
      <w:r>
        <w:rPr>
          <w:rFonts w:hint="eastAsia" w:ascii="Arial" w:hAnsi="Arial" w:cs="Times New Roman"/>
          <w:kern w:val="2"/>
          <w:sz w:val="30"/>
          <w:szCs w:val="30"/>
          <w:lang w:val="en-US" w:bidi="ar-SA"/>
        </w:rPr>
        <w:t>两类A、B采购单的</w:t>
      </w:r>
      <w:r>
        <w:rPr>
          <w:rFonts w:hint="eastAsia" w:cs="Times New Roman"/>
          <w:kern w:val="2"/>
          <w:sz w:val="30"/>
          <w:szCs w:val="30"/>
          <w:lang w:val="en-US" w:bidi="ar-SA"/>
        </w:rPr>
        <w:t>头孢氨苄产品列入本次联盟地区药品集团带量采购清单。</w:t>
      </w:r>
    </w:p>
    <w:p>
      <w:pPr>
        <w:autoSpaceDE/>
        <w:autoSpaceDN/>
        <w:spacing w:line="560" w:lineRule="exact"/>
        <w:ind w:firstLine="602" w:firstLineChars="200"/>
        <w:jc w:val="both"/>
        <w:rPr>
          <w:rFonts w:ascii="Arial" w:hAnsi="Arial" w:cs="Times New Roman"/>
          <w:b/>
          <w:bCs/>
          <w:kern w:val="2"/>
          <w:sz w:val="30"/>
          <w:szCs w:val="30"/>
          <w:lang w:val="en-US" w:bidi="ar-SA"/>
        </w:rPr>
      </w:pPr>
      <w:r>
        <w:rPr>
          <w:rFonts w:hint="eastAsia" w:ascii="Arial" w:hAnsi="Arial" w:cs="Times New Roman"/>
          <w:b/>
          <w:bCs/>
          <w:kern w:val="2"/>
          <w:sz w:val="30"/>
          <w:szCs w:val="30"/>
          <w:lang w:val="en-US" w:bidi="ar-SA"/>
        </w:rPr>
        <w:t>（一）医疗机构的报量</w:t>
      </w:r>
    </w:p>
    <w:p>
      <w:pPr>
        <w:autoSpaceDE/>
        <w:autoSpaceDN/>
        <w:spacing w:line="560" w:lineRule="exact"/>
        <w:ind w:firstLine="600" w:firstLineChars="200"/>
        <w:jc w:val="both"/>
        <w:rPr>
          <w:rFonts w:ascii="Arial" w:hAnsi="Arial" w:cs="Times New Roman"/>
          <w:kern w:val="2"/>
          <w:sz w:val="30"/>
          <w:szCs w:val="30"/>
          <w:lang w:val="en-US" w:bidi="ar-SA"/>
        </w:rPr>
      </w:pPr>
      <w:r>
        <w:rPr>
          <w:rFonts w:hint="eastAsia" w:ascii="Arial" w:hAnsi="Arial" w:cs="Times New Roman"/>
          <w:kern w:val="2"/>
          <w:sz w:val="30"/>
          <w:szCs w:val="30"/>
          <w:lang w:val="en-US" w:bidi="ar-SA"/>
        </w:rPr>
        <w:t>头孢氨苄药品参与报量的联盟地区包括广东、宁夏、河南、青海、新疆、新疆兵团、云南、</w:t>
      </w:r>
      <w:r>
        <w:rPr>
          <w:rFonts w:ascii="Arial" w:hAnsi="Arial" w:cs="Times New Roman"/>
          <w:kern w:val="2"/>
          <w:sz w:val="30"/>
          <w:szCs w:val="30"/>
          <w:lang w:val="en-US" w:bidi="ar-SA"/>
        </w:rPr>
        <w:t>广西、贵州</w:t>
      </w:r>
      <w:r>
        <w:rPr>
          <w:rFonts w:hint="eastAsia" w:ascii="Arial" w:hAnsi="Arial" w:cs="Times New Roman"/>
          <w:kern w:val="2"/>
          <w:sz w:val="30"/>
          <w:szCs w:val="30"/>
          <w:lang w:val="en-US" w:bidi="ar-SA"/>
        </w:rPr>
        <w:t>；海南未报量但执行中选结果。</w:t>
      </w:r>
    </w:p>
    <w:p>
      <w:pPr>
        <w:autoSpaceDE/>
        <w:autoSpaceDN/>
        <w:spacing w:line="560" w:lineRule="exact"/>
        <w:ind w:firstLine="600" w:firstLineChars="200"/>
        <w:jc w:val="both"/>
        <w:rPr>
          <w:rFonts w:ascii="Arial" w:hAnsi="Arial" w:cs="Times New Roman"/>
          <w:kern w:val="2"/>
          <w:sz w:val="30"/>
          <w:szCs w:val="30"/>
          <w:lang w:val="en-US" w:bidi="ar-SA"/>
        </w:rPr>
      </w:pPr>
      <w:r>
        <w:rPr>
          <w:rFonts w:hint="eastAsia" w:ascii="Arial" w:hAnsi="Arial" w:cs="Times New Roman"/>
          <w:kern w:val="2"/>
          <w:sz w:val="30"/>
          <w:szCs w:val="30"/>
          <w:lang w:val="en-US" w:bidi="ar-SA"/>
        </w:rPr>
        <w:t>每类采购产品清单由医疗机构对应批准文号、剂型、规格等填报下年度预采购量。1类A采购单/1类B采购单/2类B采购单按照每个批准文号联盟地区下年度预采购量进行汇总合计，并分别标注每个批准文号的首年预采购量。</w:t>
      </w:r>
    </w:p>
    <w:p>
      <w:pPr>
        <w:autoSpaceDE/>
        <w:autoSpaceDN/>
        <w:spacing w:line="560" w:lineRule="exact"/>
        <w:ind w:firstLine="602" w:firstLineChars="200"/>
        <w:jc w:val="both"/>
        <w:rPr>
          <w:rFonts w:ascii="Arial" w:hAnsi="Arial" w:cs="Times New Roman"/>
          <w:b/>
          <w:bCs/>
          <w:kern w:val="2"/>
          <w:sz w:val="30"/>
          <w:szCs w:val="30"/>
          <w:lang w:val="en-US" w:bidi="ar-SA"/>
        </w:rPr>
      </w:pPr>
      <w:r>
        <w:rPr>
          <w:rFonts w:hint="eastAsia" w:ascii="Arial" w:hAnsi="Arial" w:cs="Times New Roman"/>
          <w:b/>
          <w:bCs/>
          <w:kern w:val="2"/>
          <w:sz w:val="30"/>
          <w:szCs w:val="30"/>
          <w:lang w:val="en-US" w:bidi="ar-SA"/>
        </w:rPr>
        <w:t>（二） 采购单的形成</w:t>
      </w:r>
    </w:p>
    <w:p>
      <w:pPr>
        <w:autoSpaceDE/>
        <w:autoSpaceDN/>
        <w:spacing w:line="560" w:lineRule="exact"/>
        <w:ind w:firstLine="600" w:firstLineChars="200"/>
        <w:jc w:val="both"/>
        <w:rPr>
          <w:rFonts w:ascii="Arial" w:hAnsi="Arial" w:cs="Times New Roman"/>
          <w:kern w:val="2"/>
          <w:sz w:val="30"/>
          <w:szCs w:val="30"/>
          <w:lang w:val="en-US" w:bidi="ar-SA"/>
        </w:rPr>
      </w:pPr>
      <w:r>
        <w:rPr>
          <w:rFonts w:hint="eastAsia" w:ascii="Arial" w:hAnsi="Arial" w:cs="Times New Roman"/>
          <w:kern w:val="2"/>
          <w:sz w:val="30"/>
          <w:szCs w:val="30"/>
          <w:lang w:val="en-US" w:bidi="ar-SA"/>
        </w:rPr>
        <w:t>1.采购清单中1类A采购单产品：符合通过一致性评价的仿制药、原研药和参比制剂的头孢氨苄口服常释剂型、口服液体剂、颗粒剂、泡腾片产品列入1类A采购单。</w:t>
      </w:r>
    </w:p>
    <w:p>
      <w:pPr>
        <w:autoSpaceDE/>
        <w:autoSpaceDN/>
        <w:spacing w:line="560" w:lineRule="exact"/>
        <w:ind w:firstLine="600" w:firstLineChars="200"/>
        <w:jc w:val="both"/>
        <w:rPr>
          <w:rFonts w:ascii="Arial" w:hAnsi="Arial" w:cs="Times New Roman"/>
          <w:kern w:val="2"/>
          <w:sz w:val="30"/>
          <w:szCs w:val="30"/>
          <w:lang w:val="en-US" w:bidi="ar-SA"/>
        </w:rPr>
      </w:pPr>
      <w:r>
        <w:rPr>
          <w:rFonts w:hint="eastAsia" w:ascii="Arial" w:hAnsi="Arial" w:cs="Times New Roman"/>
          <w:kern w:val="2"/>
          <w:sz w:val="30"/>
          <w:szCs w:val="30"/>
          <w:lang w:val="en-US" w:bidi="ar-SA"/>
        </w:rPr>
        <w:t>2.采购清单中1类B采购单产品：符合未通过一致性评价的仿制药的头孢氨苄口服常释剂型（不包含胶囊剂）、口服液体剂、颗粒剂、泡腾片产品列入1类B采购单。</w:t>
      </w:r>
    </w:p>
    <w:p>
      <w:pPr>
        <w:autoSpaceDE/>
        <w:autoSpaceDN/>
        <w:spacing w:line="560" w:lineRule="exact"/>
        <w:ind w:firstLine="600" w:firstLineChars="200"/>
        <w:jc w:val="both"/>
        <w:rPr>
          <w:rFonts w:ascii="Arial" w:hAnsi="Arial" w:cs="Times New Roman"/>
          <w:kern w:val="2"/>
          <w:sz w:val="30"/>
          <w:szCs w:val="30"/>
          <w:lang w:val="en-US" w:bidi="ar-SA"/>
        </w:rPr>
      </w:pPr>
      <w:r>
        <w:rPr>
          <w:rFonts w:hint="eastAsia" w:ascii="Arial" w:hAnsi="Arial" w:cs="Times New Roman"/>
          <w:kern w:val="2"/>
          <w:sz w:val="30"/>
          <w:szCs w:val="30"/>
          <w:lang w:val="en-US" w:bidi="ar-SA"/>
        </w:rPr>
        <w:t>3.采购清单中2类B采购单产品：符合未通过一致性评价的头孢氨苄缓释控释剂型的所有仿制药列入2类B采购单。</w:t>
      </w:r>
    </w:p>
    <w:p>
      <w:pPr>
        <w:autoSpaceDE/>
        <w:autoSpaceDN/>
        <w:spacing w:line="560" w:lineRule="exact"/>
        <w:ind w:firstLine="600" w:firstLineChars="200"/>
        <w:jc w:val="both"/>
        <w:rPr>
          <w:rFonts w:ascii="Arial" w:hAnsi="Arial" w:cs="Times New Roman"/>
          <w:kern w:val="2"/>
          <w:sz w:val="30"/>
          <w:szCs w:val="30"/>
          <w:lang w:val="en-US" w:bidi="ar-SA"/>
        </w:rPr>
      </w:pPr>
      <w:r>
        <w:rPr>
          <w:rFonts w:hint="eastAsia" w:ascii="Arial" w:hAnsi="Arial" w:cs="Times New Roman"/>
          <w:kern w:val="2"/>
          <w:sz w:val="30"/>
          <w:szCs w:val="30"/>
          <w:lang w:val="en-US" w:bidi="ar-SA"/>
        </w:rPr>
        <w:t>4.1类A采购单/1类B采购单/2类B采购单的中选结果采取各自竞价方式形成。</w:t>
      </w:r>
    </w:p>
    <w:p>
      <w:pPr>
        <w:autoSpaceDE/>
        <w:autoSpaceDN/>
        <w:spacing w:line="560" w:lineRule="exact"/>
        <w:ind w:firstLine="600" w:firstLineChars="200"/>
        <w:jc w:val="both"/>
        <w:rPr>
          <w:rFonts w:ascii="Arial" w:hAnsi="Arial" w:cs="Times New Roman"/>
          <w:kern w:val="2"/>
          <w:sz w:val="30"/>
          <w:szCs w:val="30"/>
          <w:lang w:val="en-US" w:bidi="ar-SA"/>
        </w:rPr>
      </w:pPr>
      <w:r>
        <w:rPr>
          <w:rFonts w:hint="eastAsia" w:ascii="Arial" w:hAnsi="Arial" w:cs="Times New Roman"/>
          <w:kern w:val="2"/>
          <w:sz w:val="30"/>
          <w:szCs w:val="30"/>
          <w:lang w:val="en-US" w:bidi="ar-SA"/>
        </w:rPr>
        <w:t xml:space="preserve">首年预采购量按联盟地区医疗机构报送的采购总需求确定，首年预采购量情况见下表：  </w:t>
      </w:r>
    </w:p>
    <w:p>
      <w:pPr>
        <w:autoSpaceDE/>
        <w:autoSpaceDN/>
        <w:spacing w:line="560" w:lineRule="exact"/>
        <w:ind w:firstLine="600" w:firstLineChars="200"/>
        <w:jc w:val="both"/>
        <w:rPr>
          <w:rFonts w:ascii="Arial" w:hAnsi="Arial" w:cs="Times New Roman"/>
          <w:kern w:val="2"/>
          <w:sz w:val="30"/>
          <w:szCs w:val="30"/>
          <w:lang w:val="en-US" w:bidi="ar-SA"/>
        </w:rPr>
      </w:pPr>
      <w:r>
        <w:rPr>
          <w:rFonts w:hint="eastAsia" w:ascii="Arial" w:hAnsi="Arial" w:cs="Times New Roman"/>
          <w:kern w:val="2"/>
          <w:sz w:val="30"/>
          <w:szCs w:val="30"/>
          <w:lang w:val="en-US" w:bidi="ar-SA"/>
        </w:rPr>
        <w:t>附表1：《头孢氨苄1类A采购单明细表（联盟地区）》</w:t>
      </w:r>
    </w:p>
    <w:p>
      <w:pPr>
        <w:autoSpaceDE/>
        <w:autoSpaceDN/>
        <w:spacing w:line="560" w:lineRule="exact"/>
        <w:ind w:firstLine="600" w:firstLineChars="200"/>
        <w:jc w:val="both"/>
        <w:rPr>
          <w:rFonts w:ascii="Arial" w:hAnsi="Arial" w:cs="Times New Roman"/>
          <w:kern w:val="2"/>
          <w:sz w:val="30"/>
          <w:szCs w:val="30"/>
          <w:lang w:val="en-US" w:bidi="ar-SA"/>
        </w:rPr>
      </w:pPr>
      <w:r>
        <w:rPr>
          <w:rFonts w:hint="eastAsia" w:ascii="Arial" w:hAnsi="Arial" w:cs="Times New Roman"/>
          <w:kern w:val="2"/>
          <w:sz w:val="30"/>
          <w:szCs w:val="30"/>
          <w:lang w:val="en-US" w:bidi="ar-SA"/>
        </w:rPr>
        <w:t>附表2：《头孢氨苄1类B采购单明细表（联盟地区）》</w:t>
      </w:r>
    </w:p>
    <w:p>
      <w:pPr>
        <w:autoSpaceDE/>
        <w:autoSpaceDN/>
        <w:spacing w:line="560" w:lineRule="exact"/>
        <w:ind w:firstLine="600" w:firstLineChars="200"/>
        <w:jc w:val="both"/>
        <w:rPr>
          <w:rFonts w:hint="eastAsia" w:ascii="Arial" w:hAnsi="Arial" w:cs="Times New Roman"/>
          <w:kern w:val="2"/>
          <w:sz w:val="30"/>
          <w:szCs w:val="30"/>
          <w:lang w:val="en-US" w:bidi="ar-SA"/>
        </w:rPr>
      </w:pPr>
      <w:r>
        <w:rPr>
          <w:rFonts w:hint="eastAsia" w:ascii="Arial" w:hAnsi="Arial" w:cs="Times New Roman"/>
          <w:kern w:val="2"/>
          <w:sz w:val="30"/>
          <w:szCs w:val="30"/>
          <w:lang w:val="en-US" w:bidi="ar-SA"/>
        </w:rPr>
        <w:t>附表3：《头孢氨苄2类B采购单明细表（联盟地区）》</w:t>
      </w:r>
    </w:p>
    <w:p>
      <w:pPr>
        <w:autoSpaceDE/>
        <w:autoSpaceDN/>
        <w:spacing w:line="560" w:lineRule="exact"/>
        <w:ind w:firstLine="600" w:firstLineChars="200"/>
        <w:jc w:val="both"/>
        <w:rPr>
          <w:rFonts w:ascii="Arial" w:hAnsi="Arial" w:eastAsia="黑体" w:cs="Times New Roman"/>
          <w:kern w:val="2"/>
          <w:sz w:val="30"/>
          <w:szCs w:val="30"/>
          <w:lang w:val="en-US" w:bidi="ar-SA"/>
        </w:rPr>
      </w:pPr>
      <w:r>
        <w:rPr>
          <w:rFonts w:hint="eastAsia" w:ascii="Arial" w:hAnsi="Arial" w:eastAsia="黑体" w:cs="Times New Roman"/>
          <w:kern w:val="2"/>
          <w:sz w:val="30"/>
          <w:szCs w:val="30"/>
          <w:lang w:val="en-US" w:bidi="ar-SA"/>
        </w:rPr>
        <w:t>六、采购执行说明</w:t>
      </w:r>
    </w:p>
    <w:p>
      <w:pPr>
        <w:autoSpaceDE/>
        <w:autoSpaceDN/>
        <w:spacing w:line="560" w:lineRule="exact"/>
        <w:ind w:firstLine="600" w:firstLineChars="200"/>
        <w:jc w:val="both"/>
        <w:rPr>
          <w:rFonts w:ascii="Arial" w:hAnsi="Arial" w:cs="Times New Roman"/>
          <w:kern w:val="2"/>
          <w:sz w:val="30"/>
          <w:szCs w:val="30"/>
          <w:lang w:val="en-US" w:bidi="ar-SA"/>
        </w:rPr>
      </w:pPr>
      <w:bookmarkStart w:id="5" w:name="_Toc17748580"/>
      <w:bookmarkStart w:id="6" w:name="_Toc15364"/>
      <w:r>
        <w:rPr>
          <w:rFonts w:hint="eastAsia" w:ascii="Arial" w:hAnsi="Arial" w:cs="Times New Roman"/>
          <w:kern w:val="2"/>
          <w:sz w:val="30"/>
          <w:szCs w:val="30"/>
          <w:lang w:val="en-US" w:bidi="ar-SA"/>
        </w:rPr>
        <w:t>采购周期内，医疗机构优先使用本次头孢氨苄药品集团带量采购中选产品。在确保完成协议采购量的基础上，可通过采购平台优先采购已通过一致性评价的中选产品。</w:t>
      </w:r>
    </w:p>
    <w:p>
      <w:pPr>
        <w:autoSpaceDE/>
        <w:autoSpaceDN/>
        <w:spacing w:line="560" w:lineRule="exact"/>
        <w:ind w:firstLine="600" w:firstLineChars="200"/>
        <w:jc w:val="both"/>
        <w:rPr>
          <w:rFonts w:hint="eastAsia" w:ascii="Arial" w:hAnsi="Arial" w:cs="Times New Roman"/>
          <w:kern w:val="2"/>
          <w:sz w:val="30"/>
          <w:szCs w:val="30"/>
          <w:lang w:val="en-US" w:bidi="ar-SA"/>
        </w:rPr>
      </w:pPr>
      <w:r>
        <w:rPr>
          <w:rFonts w:hint="eastAsia" w:ascii="Arial" w:hAnsi="Arial" w:cs="Times New Roman"/>
          <w:kern w:val="2"/>
          <w:sz w:val="30"/>
          <w:szCs w:val="30"/>
          <w:lang w:val="en-US" w:bidi="ar-SA"/>
        </w:rPr>
        <w:t>未报量的医疗机构原则上优先采购使用中选药品。</w:t>
      </w:r>
    </w:p>
    <w:p>
      <w:pPr>
        <w:autoSpaceDE/>
        <w:autoSpaceDN/>
        <w:spacing w:line="560" w:lineRule="exact"/>
        <w:ind w:firstLine="600" w:firstLineChars="200"/>
        <w:jc w:val="both"/>
        <w:rPr>
          <w:rFonts w:ascii="Arial" w:hAnsi="Arial" w:eastAsia="黑体" w:cs="Times New Roman"/>
          <w:kern w:val="2"/>
          <w:sz w:val="30"/>
          <w:szCs w:val="30"/>
          <w:lang w:val="en-US" w:bidi="ar-SA"/>
        </w:rPr>
      </w:pPr>
      <w:r>
        <w:rPr>
          <w:rFonts w:hint="eastAsia" w:ascii="Arial" w:hAnsi="Arial" w:eastAsia="黑体" w:cs="Times New Roman"/>
          <w:kern w:val="2"/>
          <w:sz w:val="30"/>
          <w:szCs w:val="30"/>
          <w:lang w:val="en-US" w:bidi="ar-SA"/>
        </w:rPr>
        <w:t>七、采购文件获取方式</w:t>
      </w:r>
    </w:p>
    <w:p>
      <w:pPr>
        <w:autoSpaceDE/>
        <w:autoSpaceDN/>
        <w:spacing w:line="560" w:lineRule="exact"/>
        <w:ind w:firstLine="600" w:firstLineChars="200"/>
        <w:jc w:val="both"/>
        <w:rPr>
          <w:rFonts w:hint="eastAsia" w:cs="Times New Roman"/>
          <w:kern w:val="2"/>
          <w:sz w:val="30"/>
          <w:szCs w:val="30"/>
          <w:lang w:val="en-US" w:bidi="ar-SA"/>
        </w:rPr>
      </w:pPr>
      <w:bookmarkStart w:id="7" w:name="_Toc30614"/>
      <w:bookmarkStart w:id="8" w:name="_Toc17748581"/>
      <w:r>
        <w:rPr>
          <w:rFonts w:hint="eastAsia" w:cs="Times New Roman"/>
          <w:kern w:val="2"/>
          <w:sz w:val="30"/>
          <w:szCs w:val="30"/>
          <w:lang w:val="en-US" w:bidi="ar-SA"/>
        </w:rPr>
        <w:t>可通过广东省第三方药品电子交易平台（www. gdmede.com.cn）（以下简称省平台）下载相关文件。</w:t>
      </w:r>
      <w:bookmarkEnd w:id="5"/>
      <w:bookmarkEnd w:id="6"/>
      <w:bookmarkEnd w:id="7"/>
      <w:bookmarkEnd w:id="8"/>
      <w:bookmarkStart w:id="9" w:name="_Toc57277289"/>
      <w:bookmarkStart w:id="10" w:name="_Toc30815"/>
    </w:p>
    <w:p>
      <w:pPr>
        <w:autoSpaceDE/>
        <w:autoSpaceDN/>
        <w:spacing w:line="560" w:lineRule="exact"/>
        <w:ind w:firstLine="600" w:firstLineChars="200"/>
        <w:jc w:val="both"/>
        <w:rPr>
          <w:rFonts w:ascii="Arial" w:hAnsi="Arial" w:eastAsia="黑体" w:cs="Times New Roman"/>
          <w:kern w:val="2"/>
          <w:sz w:val="30"/>
          <w:szCs w:val="30"/>
          <w:lang w:val="en-US" w:bidi="ar-SA"/>
        </w:rPr>
      </w:pPr>
      <w:r>
        <w:rPr>
          <w:rFonts w:hint="eastAsia" w:ascii="Arial" w:hAnsi="Arial" w:eastAsia="黑体" w:cs="Times New Roman"/>
          <w:kern w:val="2"/>
          <w:sz w:val="30"/>
          <w:szCs w:val="30"/>
          <w:lang w:val="en-US" w:bidi="ar-SA"/>
        </w:rPr>
        <w:t>八、报名方式和截止时间</w:t>
      </w:r>
      <w:bookmarkEnd w:id="9"/>
      <w:bookmarkEnd w:id="10"/>
    </w:p>
    <w:p>
      <w:pPr>
        <w:spacing w:line="600" w:lineRule="exact"/>
        <w:ind w:firstLine="600"/>
        <w:rPr>
          <w:rFonts w:cs="Times New Roman"/>
          <w:kern w:val="2"/>
          <w:sz w:val="30"/>
          <w:szCs w:val="30"/>
          <w:lang w:val="en-US" w:bidi="ar-SA"/>
        </w:rPr>
      </w:pPr>
      <w:r>
        <w:rPr>
          <w:rFonts w:hint="eastAsia" w:cs="Times New Roman"/>
          <w:kern w:val="2"/>
          <w:sz w:val="30"/>
          <w:szCs w:val="30"/>
          <w:lang w:val="en-US" w:bidi="ar-SA"/>
        </w:rPr>
        <w:t>本次头孢氨苄药品集团带量采购，申报企业按报名通知（另行发布）要求，在规定时间内登录省平台（www. gdmede.com.cn）药品交易系统提交报名。</w:t>
      </w:r>
    </w:p>
    <w:p>
      <w:pPr>
        <w:spacing w:line="600" w:lineRule="exact"/>
        <w:ind w:firstLine="600"/>
        <w:rPr>
          <w:rFonts w:ascii="Arial" w:hAnsi="Arial" w:eastAsia="黑体" w:cs="Times New Roman"/>
          <w:kern w:val="2"/>
          <w:sz w:val="30"/>
          <w:szCs w:val="30"/>
          <w:lang w:val="en-US" w:bidi="ar-SA"/>
        </w:rPr>
      </w:pPr>
      <w:bookmarkStart w:id="11" w:name="_Toc27314"/>
      <w:bookmarkStart w:id="12" w:name="_Toc57277290"/>
      <w:bookmarkStart w:id="13" w:name="_Toc17748584"/>
      <w:bookmarkStart w:id="14" w:name="_Toc28009"/>
      <w:r>
        <w:rPr>
          <w:rFonts w:hint="eastAsia" w:ascii="Arial" w:hAnsi="Arial" w:eastAsia="黑体" w:cs="Times New Roman"/>
          <w:kern w:val="2"/>
          <w:sz w:val="30"/>
          <w:szCs w:val="30"/>
          <w:lang w:val="en-US" w:bidi="ar-SA"/>
        </w:rPr>
        <w:t>九、申报材料递交截止时间和地点</w:t>
      </w:r>
      <w:bookmarkEnd w:id="11"/>
      <w:bookmarkEnd w:id="12"/>
    </w:p>
    <w:p>
      <w:pPr>
        <w:spacing w:line="600" w:lineRule="exact"/>
        <w:ind w:firstLine="600"/>
        <w:rPr>
          <w:rFonts w:cs="Times New Roman"/>
          <w:kern w:val="2"/>
          <w:sz w:val="30"/>
          <w:szCs w:val="30"/>
          <w:lang w:val="en-US" w:bidi="ar-SA"/>
        </w:rPr>
      </w:pPr>
      <w:r>
        <w:rPr>
          <w:rFonts w:hint="eastAsia" w:cs="Times New Roman"/>
          <w:kern w:val="2"/>
          <w:sz w:val="30"/>
          <w:szCs w:val="30"/>
          <w:lang w:val="en-US" w:bidi="ar-SA"/>
        </w:rPr>
        <w:t>（一）申报材料递交时间：2021年*月*日（星期*）上午8:00-10:00</w:t>
      </w:r>
    </w:p>
    <w:p>
      <w:pPr>
        <w:spacing w:line="600" w:lineRule="exact"/>
        <w:ind w:firstLine="600"/>
        <w:rPr>
          <w:rFonts w:cs="Times New Roman"/>
          <w:kern w:val="2"/>
          <w:sz w:val="30"/>
          <w:szCs w:val="30"/>
          <w:lang w:val="en-US" w:bidi="ar-SA"/>
        </w:rPr>
      </w:pPr>
      <w:r>
        <w:rPr>
          <w:rFonts w:hint="eastAsia" w:cs="Times New Roman"/>
          <w:kern w:val="2"/>
          <w:sz w:val="30"/>
          <w:szCs w:val="30"/>
          <w:lang w:val="en-US" w:bidi="ar-SA"/>
        </w:rPr>
        <w:t>（二）地点：广州市越秀区环市东路华侨新村光明路28号3A楼</w:t>
      </w:r>
    </w:p>
    <w:p>
      <w:pPr>
        <w:spacing w:line="600" w:lineRule="exact"/>
        <w:ind w:firstLine="600"/>
        <w:rPr>
          <w:rFonts w:ascii="Arial" w:hAnsi="Arial" w:eastAsia="黑体" w:cs="Times New Roman"/>
          <w:kern w:val="2"/>
          <w:sz w:val="30"/>
          <w:szCs w:val="30"/>
          <w:lang w:val="en-US" w:bidi="ar-SA"/>
        </w:rPr>
      </w:pPr>
      <w:bookmarkStart w:id="15" w:name="_Toc27727"/>
      <w:bookmarkStart w:id="16" w:name="_Toc17748582"/>
      <w:bookmarkStart w:id="17" w:name="_Toc4254"/>
      <w:bookmarkStart w:id="18" w:name="_Toc57277291"/>
      <w:r>
        <w:rPr>
          <w:rFonts w:hint="eastAsia" w:ascii="Arial" w:hAnsi="Arial" w:eastAsia="黑体" w:cs="Times New Roman"/>
          <w:kern w:val="2"/>
          <w:sz w:val="30"/>
          <w:szCs w:val="30"/>
          <w:lang w:val="en-US" w:bidi="ar-SA"/>
        </w:rPr>
        <w:t>十、申报信息公开时间和地点</w:t>
      </w:r>
      <w:bookmarkEnd w:id="15"/>
      <w:bookmarkEnd w:id="16"/>
      <w:bookmarkEnd w:id="17"/>
      <w:bookmarkEnd w:id="18"/>
    </w:p>
    <w:p>
      <w:pPr>
        <w:spacing w:line="600" w:lineRule="exact"/>
        <w:ind w:firstLine="600"/>
        <w:rPr>
          <w:rFonts w:cs="Times New Roman"/>
          <w:kern w:val="2"/>
          <w:sz w:val="30"/>
          <w:szCs w:val="30"/>
          <w:lang w:val="en-US" w:bidi="ar-SA"/>
        </w:rPr>
      </w:pPr>
      <w:r>
        <w:rPr>
          <w:rFonts w:hint="eastAsia" w:cs="Times New Roman"/>
          <w:kern w:val="2"/>
          <w:sz w:val="30"/>
          <w:szCs w:val="30"/>
          <w:lang w:val="en-US" w:bidi="ar-SA"/>
        </w:rPr>
        <w:t>（一）时间：2021年*月*日（星期一）</w:t>
      </w:r>
    </w:p>
    <w:p>
      <w:pPr>
        <w:spacing w:line="600" w:lineRule="exact"/>
        <w:ind w:firstLine="600"/>
        <w:rPr>
          <w:rFonts w:hint="eastAsia" w:cs="Times New Roman"/>
          <w:kern w:val="2"/>
          <w:sz w:val="30"/>
          <w:szCs w:val="30"/>
          <w:lang w:val="en-US" w:bidi="ar-SA"/>
        </w:rPr>
      </w:pPr>
      <w:r>
        <w:rPr>
          <w:rFonts w:hint="eastAsia" w:cs="Times New Roman"/>
          <w:kern w:val="2"/>
          <w:sz w:val="30"/>
          <w:szCs w:val="30"/>
          <w:lang w:val="en-US" w:bidi="ar-SA"/>
        </w:rPr>
        <w:t>（二）地点：广州市越秀区环市东路华侨新村光明路28号3A楼</w:t>
      </w:r>
      <w:bookmarkStart w:id="19" w:name="_Toc25770"/>
      <w:bookmarkStart w:id="20" w:name="_Toc57277292"/>
    </w:p>
    <w:p>
      <w:pPr>
        <w:spacing w:line="600" w:lineRule="exact"/>
        <w:ind w:firstLine="600"/>
        <w:rPr>
          <w:rFonts w:ascii="Arial" w:hAnsi="Arial" w:eastAsia="黑体" w:cs="Times New Roman"/>
          <w:kern w:val="2"/>
          <w:sz w:val="30"/>
          <w:szCs w:val="30"/>
          <w:lang w:val="en-US" w:bidi="ar-SA"/>
        </w:rPr>
      </w:pPr>
      <w:r>
        <w:rPr>
          <w:rFonts w:hint="eastAsia" w:ascii="Arial" w:hAnsi="Arial" w:eastAsia="黑体" w:cs="Times New Roman"/>
          <w:kern w:val="2"/>
          <w:sz w:val="30"/>
          <w:szCs w:val="30"/>
          <w:lang w:val="en-US" w:bidi="ar-SA"/>
        </w:rPr>
        <w:t>十一、信息公开方式</w:t>
      </w:r>
      <w:bookmarkEnd w:id="19"/>
      <w:bookmarkEnd w:id="20"/>
    </w:p>
    <w:p>
      <w:pPr>
        <w:spacing w:line="600" w:lineRule="exact"/>
        <w:ind w:firstLine="600"/>
        <w:rPr>
          <w:rFonts w:cs="Times New Roman"/>
          <w:kern w:val="2"/>
          <w:sz w:val="30"/>
          <w:szCs w:val="30"/>
          <w:lang w:val="en-US" w:bidi="ar-SA"/>
        </w:rPr>
      </w:pPr>
      <w:r>
        <w:rPr>
          <w:rFonts w:hint="eastAsia" w:cs="Times New Roman"/>
          <w:kern w:val="2"/>
          <w:sz w:val="30"/>
          <w:szCs w:val="30"/>
          <w:lang w:val="en-US" w:bidi="ar-SA"/>
        </w:rPr>
        <w:t>通过省平台（www. gdmede.com.cn）发布采购相关通知，其中报价通知将于*月*日发布，敬请留意。</w:t>
      </w:r>
      <w:bookmarkStart w:id="21" w:name="_Toc24445"/>
      <w:bookmarkEnd w:id="21"/>
      <w:bookmarkStart w:id="22" w:name="_Toc17748583"/>
      <w:bookmarkEnd w:id="22"/>
      <w:bookmarkStart w:id="23" w:name="_Toc12085"/>
      <w:bookmarkStart w:id="24" w:name="_Toc57277293"/>
    </w:p>
    <w:p>
      <w:pPr>
        <w:spacing w:line="600" w:lineRule="exact"/>
        <w:ind w:firstLine="600"/>
        <w:rPr>
          <w:rFonts w:ascii="Arial" w:hAnsi="Arial" w:eastAsia="黑体" w:cs="Times New Roman"/>
          <w:kern w:val="2"/>
          <w:sz w:val="30"/>
          <w:szCs w:val="30"/>
          <w:lang w:val="en-US" w:bidi="ar-SA"/>
        </w:rPr>
      </w:pPr>
      <w:r>
        <w:rPr>
          <w:rFonts w:hint="eastAsia" w:ascii="Arial" w:hAnsi="Arial" w:eastAsia="黑体" w:cs="Times New Roman"/>
          <w:kern w:val="2"/>
          <w:sz w:val="30"/>
          <w:szCs w:val="30"/>
          <w:lang w:val="en-US" w:bidi="ar-SA"/>
        </w:rPr>
        <w:t>十二、联系方式</w:t>
      </w:r>
      <w:bookmarkEnd w:id="13"/>
      <w:bookmarkEnd w:id="14"/>
      <w:bookmarkEnd w:id="23"/>
      <w:bookmarkEnd w:id="24"/>
    </w:p>
    <w:p>
      <w:pPr>
        <w:spacing w:line="600" w:lineRule="exact"/>
        <w:ind w:firstLine="600"/>
        <w:rPr>
          <w:rFonts w:cs="Times New Roman"/>
          <w:kern w:val="2"/>
          <w:sz w:val="30"/>
          <w:szCs w:val="30"/>
          <w:lang w:val="en-US" w:bidi="ar-SA"/>
        </w:rPr>
      </w:pPr>
      <w:r>
        <w:rPr>
          <w:rFonts w:hint="eastAsia" w:cs="Times New Roman"/>
          <w:kern w:val="2"/>
          <w:sz w:val="30"/>
          <w:szCs w:val="30"/>
          <w:lang w:val="en-US" w:bidi="ar-SA"/>
        </w:rPr>
        <w:t>名称：广东省药品交易中心</w:t>
      </w:r>
    </w:p>
    <w:p>
      <w:pPr>
        <w:spacing w:line="600" w:lineRule="exact"/>
        <w:ind w:firstLine="600"/>
        <w:rPr>
          <w:rFonts w:cs="Times New Roman"/>
          <w:kern w:val="2"/>
          <w:sz w:val="30"/>
          <w:szCs w:val="30"/>
          <w:lang w:val="en-US" w:bidi="ar-SA"/>
        </w:rPr>
      </w:pPr>
      <w:r>
        <w:rPr>
          <w:rFonts w:hint="eastAsia" w:cs="Times New Roman"/>
          <w:kern w:val="2"/>
          <w:sz w:val="30"/>
          <w:szCs w:val="30"/>
          <w:lang w:val="en-US" w:bidi="ar-SA"/>
        </w:rPr>
        <w:t>地址：广州市越秀区环市东路华侨新村光明路28号3A楼</w:t>
      </w:r>
    </w:p>
    <w:p>
      <w:pPr>
        <w:spacing w:line="600" w:lineRule="exact"/>
        <w:ind w:firstLine="600"/>
        <w:rPr>
          <w:rFonts w:cs="Times New Roman"/>
          <w:kern w:val="2"/>
          <w:sz w:val="30"/>
          <w:szCs w:val="30"/>
          <w:lang w:val="en-US" w:bidi="ar-SA"/>
        </w:rPr>
      </w:pPr>
      <w:r>
        <w:rPr>
          <w:rFonts w:hint="eastAsia" w:cs="Times New Roman"/>
          <w:kern w:val="2"/>
          <w:sz w:val="30"/>
          <w:szCs w:val="30"/>
          <w:lang w:val="en-US" w:bidi="ar-SA"/>
        </w:rPr>
        <w:t xml:space="preserve">邮编：510095 </w:t>
      </w:r>
    </w:p>
    <w:p>
      <w:pPr>
        <w:spacing w:line="600" w:lineRule="exact"/>
        <w:ind w:firstLine="600"/>
        <w:rPr>
          <w:rFonts w:cs="Times New Roman"/>
          <w:kern w:val="2"/>
          <w:sz w:val="30"/>
          <w:szCs w:val="30"/>
          <w:lang w:val="en-US" w:bidi="ar-SA"/>
        </w:rPr>
      </w:pPr>
      <w:r>
        <w:rPr>
          <w:rFonts w:hint="eastAsia" w:cs="Times New Roman"/>
          <w:kern w:val="2"/>
          <w:sz w:val="30"/>
          <w:szCs w:val="30"/>
          <w:lang w:val="en-US" w:bidi="ar-SA"/>
        </w:rPr>
        <w:t>电话：020-38036183、020-38036197</w:t>
      </w:r>
    </w:p>
    <w:p>
      <w:pPr>
        <w:spacing w:line="600" w:lineRule="exact"/>
        <w:ind w:firstLine="600"/>
        <w:rPr>
          <w:rFonts w:cs="Times New Roman"/>
          <w:kern w:val="2"/>
          <w:sz w:val="30"/>
          <w:szCs w:val="30"/>
          <w:lang w:val="en-US" w:bidi="ar-SA"/>
        </w:rPr>
      </w:pPr>
      <w:r>
        <w:rPr>
          <w:rFonts w:hint="eastAsia" w:cs="Times New Roman"/>
          <w:kern w:val="2"/>
          <w:sz w:val="30"/>
          <w:szCs w:val="30"/>
          <w:lang w:val="en-US" w:bidi="ar-SA"/>
        </w:rPr>
        <w:t>传真：020-38830256</w:t>
      </w:r>
      <w:bookmarkStart w:id="25" w:name="_Toc15032"/>
      <w:bookmarkEnd w:id="25"/>
      <w:bookmarkStart w:id="26" w:name="_Toc17748585"/>
      <w:bookmarkEnd w:id="26"/>
    </w:p>
    <w:p>
      <w:pPr>
        <w:spacing w:line="600" w:lineRule="exact"/>
        <w:ind w:firstLine="600"/>
        <w:rPr>
          <w:rFonts w:cs="Times New Roman"/>
          <w:kern w:val="2"/>
          <w:sz w:val="30"/>
          <w:szCs w:val="30"/>
          <w:lang w:val="en-US" w:bidi="ar-SA"/>
        </w:rPr>
      </w:pPr>
      <w:r>
        <w:rPr>
          <w:rFonts w:hint="eastAsia" w:cs="Times New Roman"/>
          <w:kern w:val="2"/>
          <w:sz w:val="30"/>
          <w:szCs w:val="30"/>
          <w:lang w:val="en-US" w:bidi="ar-SA"/>
        </w:rPr>
        <w:t>QQ群：1群319678985，2群514874300</w:t>
      </w:r>
      <w:bookmarkStart w:id="62" w:name="_GoBack"/>
      <w:bookmarkEnd w:id="62"/>
    </w:p>
    <w:p>
      <w:pPr>
        <w:spacing w:line="600" w:lineRule="exact"/>
        <w:ind w:firstLine="600"/>
        <w:rPr>
          <w:rFonts w:cs="Times New Roman"/>
          <w:kern w:val="2"/>
          <w:sz w:val="30"/>
          <w:szCs w:val="30"/>
          <w:lang w:val="en-US" w:bidi="ar-SA"/>
        </w:rPr>
      </w:pPr>
      <w:r>
        <w:rPr>
          <w:rFonts w:hint="eastAsia" w:cs="Times New Roman"/>
          <w:kern w:val="2"/>
          <w:sz w:val="30"/>
          <w:szCs w:val="30"/>
          <w:lang w:val="en-US" w:bidi="ar-SA"/>
        </w:rPr>
        <w:t>在线咨询：广东省药品交易中心官网在线客服。</w:t>
      </w:r>
      <w:bookmarkStart w:id="27" w:name="_Toc29485"/>
      <w:bookmarkStart w:id="28" w:name="_Toc57277294"/>
    </w:p>
    <w:p>
      <w:pPr>
        <w:spacing w:line="600" w:lineRule="exact"/>
        <w:ind w:firstLine="600"/>
        <w:rPr>
          <w:rFonts w:ascii="Arial" w:hAnsi="Arial" w:eastAsia="黑体" w:cs="Times New Roman"/>
          <w:kern w:val="2"/>
          <w:sz w:val="30"/>
          <w:szCs w:val="30"/>
          <w:lang w:val="en-US" w:bidi="ar-SA"/>
        </w:rPr>
      </w:pPr>
      <w:r>
        <w:rPr>
          <w:rFonts w:hint="eastAsia" w:ascii="Arial" w:hAnsi="Arial" w:eastAsia="黑体" w:cs="Times New Roman"/>
          <w:kern w:val="2"/>
          <w:sz w:val="30"/>
          <w:szCs w:val="30"/>
          <w:lang w:val="en-US" w:bidi="ar-SA"/>
        </w:rPr>
        <w:t>十三、其他</w:t>
      </w:r>
      <w:bookmarkEnd w:id="27"/>
      <w:bookmarkEnd w:id="28"/>
    </w:p>
    <w:p>
      <w:pPr>
        <w:spacing w:line="600" w:lineRule="exact"/>
        <w:ind w:firstLine="600"/>
        <w:rPr>
          <w:rFonts w:cs="Times New Roman"/>
          <w:kern w:val="2"/>
          <w:sz w:val="30"/>
          <w:szCs w:val="30"/>
          <w:lang w:val="en-US" w:bidi="ar-SA"/>
        </w:rPr>
      </w:pPr>
      <w:r>
        <w:rPr>
          <w:rFonts w:hint="eastAsia" w:cs="Times New Roman"/>
          <w:kern w:val="2"/>
          <w:sz w:val="30"/>
          <w:szCs w:val="30"/>
          <w:lang w:val="en-US" w:bidi="ar-SA"/>
        </w:rPr>
        <w:t>（一）当*月*日申报材料递交和信息公开时，由于不可抗力因素造成工作无法进行的，应宣布暂停择时进行。</w:t>
      </w:r>
    </w:p>
    <w:p>
      <w:pPr>
        <w:spacing w:line="600" w:lineRule="exact"/>
        <w:ind w:firstLine="600"/>
        <w:rPr>
          <w:rFonts w:cs="Times New Roman"/>
          <w:kern w:val="2"/>
          <w:sz w:val="30"/>
          <w:szCs w:val="30"/>
          <w:lang w:val="en-US" w:bidi="ar-SA"/>
        </w:rPr>
      </w:pPr>
      <w:r>
        <w:rPr>
          <w:rFonts w:hint="eastAsia" w:cs="Times New Roman"/>
          <w:kern w:val="2"/>
          <w:sz w:val="30"/>
          <w:szCs w:val="30"/>
          <w:lang w:val="en-US" w:bidi="ar-SA"/>
        </w:rPr>
        <w:t>（二）本次头孢氨苄药品集团带量采购结果执行时间等事项由联盟地区各省自行公布。</w:t>
      </w:r>
    </w:p>
    <w:p>
      <w:pPr>
        <w:autoSpaceDE/>
        <w:autoSpaceDN/>
        <w:spacing w:line="600" w:lineRule="exact"/>
        <w:ind w:firstLine="600" w:firstLineChars="200"/>
        <w:jc w:val="both"/>
        <w:rPr>
          <w:rFonts w:cs="Times New Roman"/>
          <w:kern w:val="2"/>
          <w:sz w:val="30"/>
          <w:szCs w:val="30"/>
          <w:lang w:val="en-US" w:bidi="ar-SA"/>
        </w:rPr>
        <w:sectPr>
          <w:headerReference r:id="rId3" w:type="default"/>
          <w:footerReference r:id="rId4" w:type="default"/>
          <w:pgSz w:w="11910" w:h="16840"/>
          <w:pgMar w:top="1580" w:right="1040" w:bottom="1220" w:left="1300" w:header="1145" w:footer="1035" w:gutter="0"/>
          <w:pgNumType w:fmt="numberInDash" w:start="1"/>
          <w:cols w:space="720" w:num="1"/>
        </w:sectPr>
      </w:pPr>
    </w:p>
    <w:p>
      <w:pPr>
        <w:keepNext/>
        <w:keepLines/>
        <w:widowControl/>
        <w:autoSpaceDE/>
        <w:autoSpaceDN/>
        <w:spacing w:after="160" w:line="560" w:lineRule="exact"/>
        <w:jc w:val="center"/>
        <w:outlineLvl w:val="0"/>
        <w:rPr>
          <w:rFonts w:ascii="Arial" w:hAnsi="Arial" w:cs="Times New Roman"/>
          <w:b/>
          <w:kern w:val="44"/>
          <w:sz w:val="36"/>
          <w:szCs w:val="36"/>
          <w:lang w:val="en-US" w:bidi="ar-SA"/>
        </w:rPr>
      </w:pPr>
      <w:bookmarkStart w:id="29" w:name="_bookmark11"/>
      <w:bookmarkEnd w:id="29"/>
      <w:r>
        <w:rPr>
          <w:rFonts w:hint="eastAsia" w:ascii="华文中宋" w:hAnsi="华文中宋" w:eastAsia="华文中宋" w:cs="华文中宋"/>
          <w:b w:val="0"/>
          <w:bCs/>
          <w:kern w:val="44"/>
          <w:sz w:val="36"/>
          <w:szCs w:val="36"/>
          <w:lang w:val="en-US" w:bidi="ar-SA"/>
        </w:rPr>
        <w:t>第二部分 申报企业须知</w:t>
      </w:r>
    </w:p>
    <w:p>
      <w:pPr>
        <w:keepNext/>
        <w:keepLines/>
        <w:autoSpaceDE/>
        <w:autoSpaceDN/>
        <w:spacing w:line="560" w:lineRule="exact"/>
        <w:ind w:firstLine="600" w:firstLineChars="200"/>
        <w:jc w:val="both"/>
        <w:outlineLvl w:val="9"/>
        <w:rPr>
          <w:rFonts w:ascii="Arial" w:hAnsi="Arial" w:eastAsia="黑体" w:cs="Times New Roman"/>
          <w:kern w:val="2"/>
          <w:sz w:val="30"/>
          <w:szCs w:val="30"/>
          <w:lang w:val="en-US" w:bidi="ar-SA"/>
        </w:rPr>
      </w:pPr>
      <w:bookmarkStart w:id="30" w:name="_bookmark12"/>
      <w:bookmarkEnd w:id="30"/>
      <w:bookmarkStart w:id="31" w:name="一、集中采购当事人"/>
      <w:bookmarkEnd w:id="31"/>
      <w:r>
        <w:rPr>
          <w:rFonts w:hint="eastAsia" w:ascii="Arial" w:hAnsi="Arial" w:eastAsia="黑体" w:cs="Times New Roman"/>
          <w:kern w:val="2"/>
          <w:sz w:val="30"/>
          <w:szCs w:val="30"/>
          <w:lang w:val="en-US" w:bidi="ar-SA"/>
        </w:rPr>
        <w:t>一、集团带量采购当事人</w:t>
      </w:r>
    </w:p>
    <w:p>
      <w:pPr>
        <w:autoSpaceDE/>
        <w:autoSpaceDN/>
        <w:spacing w:line="560" w:lineRule="exact"/>
        <w:ind w:firstLine="602" w:firstLineChars="200"/>
        <w:jc w:val="both"/>
        <w:rPr>
          <w:rFonts w:ascii="Arial" w:hAnsi="Arial" w:cs="Times New Roman"/>
          <w:b/>
          <w:bCs/>
          <w:kern w:val="2"/>
          <w:sz w:val="30"/>
          <w:szCs w:val="30"/>
          <w:lang w:val="en-US" w:bidi="ar-SA"/>
        </w:rPr>
      </w:pPr>
      <w:bookmarkStart w:id="32" w:name="1.申报企业"/>
      <w:bookmarkEnd w:id="32"/>
      <w:r>
        <w:rPr>
          <w:rFonts w:hint="eastAsia" w:ascii="Arial" w:hAnsi="Arial" w:cs="Times New Roman"/>
          <w:b/>
          <w:bCs/>
          <w:kern w:val="2"/>
          <w:sz w:val="30"/>
          <w:szCs w:val="30"/>
          <w:lang w:val="en-US" w:bidi="ar-SA"/>
        </w:rPr>
        <w:t>（一）申报企业</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1.申报企业参加药品集团带量采购活动应当具备以下条件：</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（1）具有履行协议必须具备的能力；</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（2）参加本次药品集团带量采购活动前两年内，在药品生产活动中无严重违法记录；</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（3）对药品的质量负责，一旦中选，作为供应保障的第一责任人，及时、足量按要求组织生产，并向配送企业发送药品，满足医疗机构临床用药需求。</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2.申报企业应按照采购文件的要求编制申报材料，申报材料应对采购文件提出的要求和条件做出响应。</w:t>
      </w:r>
    </w:p>
    <w:p>
      <w:pPr>
        <w:autoSpaceDE/>
        <w:autoSpaceDN/>
        <w:spacing w:line="560" w:lineRule="exact"/>
        <w:ind w:firstLine="602" w:firstLineChars="200"/>
        <w:jc w:val="both"/>
        <w:rPr>
          <w:rFonts w:ascii="Arial" w:hAnsi="Arial" w:cs="Times New Roman"/>
          <w:b/>
          <w:bCs/>
          <w:kern w:val="2"/>
          <w:sz w:val="30"/>
          <w:szCs w:val="30"/>
          <w:lang w:val="en-US" w:bidi="ar-SA"/>
        </w:rPr>
      </w:pPr>
      <w:bookmarkStart w:id="33" w:name="2.其他要求"/>
      <w:bookmarkEnd w:id="33"/>
      <w:r>
        <w:rPr>
          <w:rFonts w:hint="eastAsia" w:ascii="Arial" w:hAnsi="Arial" w:cs="Times New Roman"/>
          <w:b/>
          <w:bCs/>
          <w:kern w:val="2"/>
          <w:sz w:val="30"/>
          <w:szCs w:val="30"/>
          <w:lang w:val="en-US" w:bidi="ar-SA"/>
        </w:rPr>
        <w:t>（二）其他要求</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1.同品种申报企业中，企业负责人为同一人或存在直接控股、管理关系的不同企业，不得同时参与该品种的申报。</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2.申报品种在本次药品集团采购活动前两年内不存在省级（含） 以</w:t>
      </w:r>
    </w:p>
    <w:p>
      <w:pPr>
        <w:autoSpaceDE/>
        <w:autoSpaceDN/>
        <w:spacing w:line="560" w:lineRule="exact"/>
        <w:jc w:val="both"/>
        <w:rPr>
          <w:rFonts w:cs="Times New Roman"/>
          <w:kern w:val="2"/>
          <w:sz w:val="30"/>
          <w:szCs w:val="30"/>
          <w:lang w:val="en-US" w:bidi="ar-SA"/>
        </w:rPr>
      </w:pPr>
      <w:r>
        <w:rPr>
          <w:rFonts w:hint="eastAsia" w:cs="Times New Roman"/>
          <w:kern w:val="2"/>
          <w:sz w:val="30"/>
          <w:szCs w:val="30"/>
          <w:lang w:val="en-US" w:bidi="ar-SA"/>
        </w:rPr>
        <w:t>上药品监督管理部门质量检验不合格情况（其中</w:t>
      </w:r>
      <w:r>
        <w:rPr>
          <w:rFonts w:hint="eastAsia" w:ascii="Arial" w:hAnsi="Arial" w:cs="Times New Roman"/>
          <w:kern w:val="2"/>
          <w:sz w:val="30"/>
          <w:szCs w:val="30"/>
          <w:lang w:val="en-US" w:bidi="ar-SA"/>
        </w:rPr>
        <w:t>通过一致性评价的</w:t>
      </w:r>
      <w:r>
        <w:rPr>
          <w:rFonts w:hint="eastAsia" w:cs="Times New Roman"/>
          <w:kern w:val="2"/>
          <w:sz w:val="30"/>
          <w:szCs w:val="30"/>
          <w:lang w:val="en-US" w:bidi="ar-SA"/>
        </w:rPr>
        <w:t>仿制药的不合格情况指通过国家药品监督管理局仿制药质量和疗效一致性评价上市后的不合格情况）。</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3.本次药品集团带量采购供应的药品，应是临床常用包装。</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4.申报企业中选后，须按联盟地区主管部门要求签订购销协议。</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5.中选药品在履行协议中如遇国家政策调整或不可抗力，致使直接影响协议履行的，由签订购销协议中的各方协商解决。</w:t>
      </w:r>
    </w:p>
    <w:p>
      <w:pPr>
        <w:keepNext/>
        <w:keepLines/>
        <w:autoSpaceDE/>
        <w:autoSpaceDN/>
        <w:spacing w:line="560" w:lineRule="exact"/>
        <w:ind w:firstLine="600" w:firstLineChars="200"/>
        <w:jc w:val="both"/>
        <w:outlineLvl w:val="1"/>
        <w:rPr>
          <w:rFonts w:ascii="Arial" w:hAnsi="Arial" w:eastAsia="黑体" w:cs="Times New Roman"/>
          <w:kern w:val="2"/>
          <w:sz w:val="30"/>
          <w:szCs w:val="30"/>
          <w:lang w:val="en-US" w:bidi="ar-SA"/>
        </w:rPr>
      </w:pPr>
      <w:r>
        <w:rPr>
          <w:rFonts w:hint="eastAsia" w:ascii="Arial" w:hAnsi="Arial" w:eastAsia="黑体" w:cs="Times New Roman"/>
          <w:kern w:val="2"/>
          <w:sz w:val="30"/>
          <w:szCs w:val="30"/>
          <w:lang w:val="en-US" w:bidi="ar-SA"/>
        </w:rPr>
        <w:t>二、申报材料编制</w:t>
      </w:r>
      <w:bookmarkStart w:id="34" w:name="二、申报材料编制"/>
      <w:bookmarkEnd w:id="34"/>
      <w:bookmarkStart w:id="35" w:name="3.编制要求"/>
      <w:bookmarkEnd w:id="35"/>
      <w:bookmarkStart w:id="36" w:name="_bookmark13"/>
      <w:bookmarkEnd w:id="36"/>
    </w:p>
    <w:p>
      <w:pPr>
        <w:autoSpaceDE/>
        <w:autoSpaceDN/>
        <w:spacing w:line="560" w:lineRule="exact"/>
        <w:ind w:firstLine="602" w:firstLineChars="200"/>
        <w:jc w:val="both"/>
        <w:rPr>
          <w:rFonts w:ascii="Arial" w:hAnsi="Arial" w:cs="Times New Roman"/>
          <w:b/>
          <w:bCs/>
          <w:kern w:val="2"/>
          <w:sz w:val="30"/>
          <w:szCs w:val="30"/>
          <w:lang w:val="en-US" w:bidi="ar-SA"/>
        </w:rPr>
      </w:pPr>
      <w:r>
        <w:rPr>
          <w:rFonts w:hint="eastAsia" w:ascii="Arial" w:hAnsi="Arial" w:cs="Times New Roman"/>
          <w:b/>
          <w:bCs/>
          <w:kern w:val="2"/>
          <w:sz w:val="30"/>
          <w:szCs w:val="30"/>
          <w:lang w:val="en-US" w:bidi="ar-SA"/>
        </w:rPr>
        <w:t>（一）编制要求</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申报企业应仔细阅读采购文件中的所有内容，按采购文件的要求提供申报材料，并保证所提供的全部材料真实有效。申报材料中涉及到的证书、证明材料等，必须在申报信息公开当日仍在有效期内。若因申报企业没有按照采购文件的要求提交完整材料，或因申报材料没有对采购文件做出响应、申报材料内容不实等因素影响中选结果的，由申报企业负责。</w:t>
      </w:r>
    </w:p>
    <w:p>
      <w:pPr>
        <w:autoSpaceDE/>
        <w:autoSpaceDN/>
        <w:spacing w:line="560" w:lineRule="exact"/>
        <w:ind w:firstLine="602" w:firstLineChars="200"/>
        <w:jc w:val="both"/>
        <w:rPr>
          <w:rFonts w:ascii="Arial" w:hAnsi="Arial" w:cs="Times New Roman"/>
          <w:b/>
          <w:bCs/>
          <w:kern w:val="2"/>
          <w:sz w:val="30"/>
          <w:szCs w:val="30"/>
          <w:lang w:val="en-US" w:bidi="ar-SA"/>
        </w:rPr>
      </w:pPr>
      <w:bookmarkStart w:id="37" w:name="4.申报语言、计量单位和药品名称、药品规格表示"/>
      <w:bookmarkEnd w:id="37"/>
      <w:r>
        <w:rPr>
          <w:rFonts w:hint="eastAsia" w:ascii="Arial" w:hAnsi="Arial" w:cs="Times New Roman"/>
          <w:b/>
          <w:bCs/>
          <w:kern w:val="2"/>
          <w:sz w:val="30"/>
          <w:szCs w:val="30"/>
          <w:lang w:val="en-US" w:bidi="ar-SA"/>
        </w:rPr>
        <w:t>（二）申报语言、计量单位和药品名称、药品规格表示</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1.申报企业与省药交中心就申报递交的材料、交换的文件和来往信件，一律以中文书写。</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2.除申报材料中对技术规格另有规定外，应使用中华人民共和国法定计量单位和有关部门规定的药品名称、药品规格表示方法。</w:t>
      </w:r>
    </w:p>
    <w:p>
      <w:pPr>
        <w:autoSpaceDE/>
        <w:autoSpaceDN/>
        <w:spacing w:line="560" w:lineRule="exact"/>
        <w:ind w:firstLine="602" w:firstLineChars="200"/>
        <w:jc w:val="both"/>
        <w:rPr>
          <w:rFonts w:ascii="Arial" w:hAnsi="Arial" w:cs="Times New Roman"/>
          <w:b/>
          <w:bCs/>
          <w:kern w:val="2"/>
          <w:sz w:val="30"/>
          <w:szCs w:val="30"/>
          <w:lang w:val="en-US" w:bidi="ar-SA"/>
        </w:rPr>
      </w:pPr>
      <w:bookmarkStart w:id="38" w:name="5.纸质申报材料的构成和装订顺序"/>
      <w:bookmarkEnd w:id="38"/>
      <w:r>
        <w:rPr>
          <w:rFonts w:hint="eastAsia" w:ascii="Arial" w:hAnsi="Arial" w:cs="Times New Roman"/>
          <w:b/>
          <w:bCs/>
          <w:kern w:val="2"/>
          <w:sz w:val="30"/>
          <w:szCs w:val="30"/>
          <w:lang w:val="en-US" w:bidi="ar-SA"/>
        </w:rPr>
        <w:t>（三）纸质申报材料的构成</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按采购文件中提供的申报材料的格式要求，用A4纸依顺序准备纸质申报材料，构成如下（每页均需加盖企业公章）：</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1.医药企业价格和营销行为信用承诺书（附件1）；</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2.法定代表人授权书（附件2）；</w:t>
      </w:r>
    </w:p>
    <w:p>
      <w:pPr>
        <w:autoSpaceDE/>
        <w:autoSpaceDN/>
        <w:spacing w:line="560" w:lineRule="exact"/>
        <w:ind w:firstLine="600" w:firstLineChars="200"/>
        <w:jc w:val="both"/>
        <w:rPr>
          <w:rFonts w:cs="Times New Roman"/>
          <w:kern w:val="2"/>
          <w:sz w:val="30"/>
          <w:szCs w:val="30"/>
          <w:lang w:val="en-US" w:bidi="ar-SA"/>
        </w:rPr>
      </w:pPr>
      <w:r>
        <w:rPr>
          <w:rFonts w:cs="Times New Roman"/>
          <w:kern w:val="2"/>
          <w:sz w:val="30"/>
          <w:szCs w:val="30"/>
          <w:lang w:val="en-US" w:bidi="ar-SA"/>
        </w:rPr>
        <w:t>3</w:t>
      </w:r>
      <w:r>
        <w:rPr>
          <w:rFonts w:hint="eastAsia" w:cs="Times New Roman"/>
          <w:kern w:val="2"/>
          <w:sz w:val="30"/>
          <w:szCs w:val="30"/>
          <w:lang w:val="en-US" w:bidi="ar-SA"/>
        </w:rPr>
        <w:t>.《</w:t>
      </w:r>
      <w:r>
        <w:rPr>
          <w:rFonts w:hint="eastAsia" w:ascii="Arial" w:hAnsi="Arial" w:cs="Times New Roman"/>
          <w:kern w:val="2"/>
          <w:sz w:val="30"/>
          <w:szCs w:val="30"/>
          <w:lang w:val="en-US" w:bidi="ar-SA"/>
        </w:rPr>
        <w:t>1类A采购单/1类B采购单/2类B</w:t>
      </w:r>
      <w:r>
        <w:rPr>
          <w:rFonts w:hint="eastAsia" w:cs="Times New Roman"/>
          <w:kern w:val="2"/>
          <w:sz w:val="30"/>
          <w:szCs w:val="30"/>
          <w:lang w:val="en-US" w:bidi="ar-SA"/>
        </w:rPr>
        <w:t>采购单报价表》（附件3-1、3-2、3-3）；须按对应类别及采购单进行申报；</w:t>
      </w:r>
    </w:p>
    <w:p>
      <w:pPr>
        <w:autoSpaceDE/>
        <w:autoSpaceDN/>
        <w:spacing w:line="560" w:lineRule="exact"/>
        <w:ind w:firstLine="600" w:firstLineChars="200"/>
        <w:jc w:val="both"/>
        <w:rPr>
          <w:rFonts w:cs="Times New Roman"/>
          <w:kern w:val="2"/>
          <w:sz w:val="30"/>
          <w:szCs w:val="30"/>
          <w:lang w:val="en-US" w:bidi="ar-SA"/>
        </w:rPr>
      </w:pPr>
      <w:r>
        <w:rPr>
          <w:rFonts w:cs="Times New Roman"/>
          <w:kern w:val="2"/>
          <w:sz w:val="30"/>
          <w:szCs w:val="30"/>
          <w:lang w:val="en-US" w:bidi="ar-SA"/>
        </w:rPr>
        <w:t>4.</w:t>
      </w:r>
      <w:r>
        <w:rPr>
          <w:rFonts w:hint="eastAsia" w:cs="Times New Roman"/>
          <w:kern w:val="2"/>
          <w:sz w:val="30"/>
          <w:szCs w:val="30"/>
          <w:lang w:val="en-US" w:bidi="ar-SA"/>
        </w:rPr>
        <w:t>企业及产品资质材料（以企业按照省平台报名资质要求在药品交易系统维护提交的有效材料为准，无需另附申报材料中）。申报材料电子版（纸质版加盖企业公章）须在规定的报名时间内通过省平台药品交易系统网上提交，申报材料纸质盖章版企业留档备查；</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5.药品</w:t>
      </w:r>
      <w:r>
        <w:rPr>
          <w:rFonts w:cs="Times New Roman"/>
          <w:kern w:val="2"/>
          <w:sz w:val="30"/>
          <w:szCs w:val="30"/>
          <w:lang w:val="en-US" w:bidi="ar-SA"/>
        </w:rPr>
        <w:t>符合“</w:t>
      </w:r>
      <w:r>
        <w:rPr>
          <w:rFonts w:hint="eastAsia" w:cs="Times New Roman"/>
          <w:kern w:val="2"/>
          <w:sz w:val="30"/>
          <w:szCs w:val="30"/>
          <w:lang w:val="en-US" w:bidi="ar-SA"/>
        </w:rPr>
        <w:t>申报</w:t>
      </w:r>
      <w:r>
        <w:rPr>
          <w:rFonts w:cs="Times New Roman"/>
          <w:kern w:val="2"/>
          <w:sz w:val="30"/>
          <w:szCs w:val="30"/>
          <w:lang w:val="en-US" w:bidi="ar-SA"/>
        </w:rPr>
        <w:t>品种资格”</w:t>
      </w:r>
      <w:r>
        <w:rPr>
          <w:rFonts w:hint="eastAsia" w:cs="Times New Roman"/>
          <w:kern w:val="2"/>
          <w:sz w:val="30"/>
          <w:szCs w:val="30"/>
          <w:lang w:val="en-US" w:bidi="ar-SA"/>
        </w:rPr>
        <w:t>的</w:t>
      </w:r>
      <w:r>
        <w:rPr>
          <w:rFonts w:cs="Times New Roman"/>
          <w:kern w:val="2"/>
          <w:sz w:val="30"/>
          <w:szCs w:val="30"/>
          <w:lang w:val="en-US" w:bidi="ar-SA"/>
        </w:rPr>
        <w:t>相关证明材料；</w:t>
      </w:r>
    </w:p>
    <w:p>
      <w:pPr>
        <w:autoSpaceDE/>
        <w:autoSpaceDN/>
        <w:spacing w:line="560" w:lineRule="exact"/>
        <w:ind w:firstLine="600" w:firstLineChars="200"/>
        <w:jc w:val="both"/>
        <w:rPr>
          <w:rFonts w:ascii="Arial" w:hAnsi="Arial" w:cs="Times New Roman"/>
          <w:kern w:val="2"/>
          <w:sz w:val="30"/>
          <w:szCs w:val="30"/>
          <w:lang w:val="en-US" w:bidi="ar-SA"/>
        </w:rPr>
      </w:pPr>
      <w:r>
        <w:rPr>
          <w:rFonts w:cs="Times New Roman"/>
          <w:kern w:val="2"/>
          <w:sz w:val="30"/>
          <w:szCs w:val="30"/>
          <w:lang w:val="en-US" w:bidi="ar-SA"/>
        </w:rPr>
        <w:t>6</w:t>
      </w:r>
      <w:r>
        <w:rPr>
          <w:rFonts w:hint="eastAsia" w:cs="Times New Roman"/>
          <w:kern w:val="2"/>
          <w:sz w:val="30"/>
          <w:szCs w:val="30"/>
          <w:lang w:val="en-US" w:bidi="ar-SA"/>
        </w:rPr>
        <w:t>.</w:t>
      </w:r>
      <w:r>
        <w:rPr>
          <w:spacing w:val="-1"/>
          <w:sz w:val="30"/>
        </w:rPr>
        <w:t>原料药自产说明材料</w:t>
      </w:r>
      <w:r>
        <w:rPr>
          <w:sz w:val="30"/>
        </w:rPr>
        <w:t>（</w:t>
      </w:r>
      <w:r>
        <w:rPr>
          <w:spacing w:val="-1"/>
          <w:sz w:val="30"/>
        </w:rPr>
        <w:t>当原料药和制剂生产企业为同一法</w:t>
      </w:r>
      <w:r>
        <w:rPr>
          <w:sz w:val="30"/>
        </w:rPr>
        <w:t>人时请提供药品注册批件复印件）</w:t>
      </w:r>
      <w:r>
        <w:rPr>
          <w:rFonts w:hint="eastAsia" w:cs="Times New Roman"/>
          <w:kern w:val="2"/>
          <w:sz w:val="30"/>
          <w:szCs w:val="30"/>
          <w:lang w:val="en-US" w:bidi="ar-SA"/>
        </w:rPr>
        <w:t>。</w:t>
      </w:r>
    </w:p>
    <w:p>
      <w:pPr>
        <w:autoSpaceDE/>
        <w:autoSpaceDN/>
        <w:spacing w:line="560" w:lineRule="exact"/>
        <w:ind w:firstLine="602" w:firstLineChars="200"/>
        <w:jc w:val="both"/>
        <w:rPr>
          <w:rFonts w:ascii="Arial" w:hAnsi="Arial" w:cs="Times New Roman"/>
          <w:b/>
          <w:bCs/>
          <w:kern w:val="2"/>
          <w:sz w:val="30"/>
          <w:szCs w:val="30"/>
          <w:lang w:val="en-US" w:bidi="ar-SA"/>
        </w:rPr>
      </w:pPr>
      <w:r>
        <w:rPr>
          <w:rFonts w:hint="eastAsia" w:ascii="Arial" w:hAnsi="Arial" w:cs="Times New Roman"/>
          <w:b/>
          <w:bCs/>
          <w:kern w:val="2"/>
          <w:sz w:val="30"/>
          <w:szCs w:val="30"/>
          <w:lang w:val="en-US" w:bidi="ar-SA"/>
        </w:rPr>
        <w:t>（四）企业报价</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1.申报价货币单位为人民币（元），四舍五入保留小数点后4位；以最小计量单位（指单片/单粒/单袋/单支等）为计价单位。</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2.申报价为申报企业的实际供应价，应包括税费、配送费等在内的所有费用。</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3.</w:t>
      </w:r>
      <w:r>
        <w:rPr>
          <w:rFonts w:hint="eastAsia" w:ascii="Arial" w:hAnsi="Arial" w:cs="Times New Roman"/>
          <w:kern w:val="2"/>
          <w:sz w:val="30"/>
          <w:szCs w:val="30"/>
          <w:lang w:val="en-US" w:bidi="ar-SA"/>
        </w:rPr>
        <w:t>1类A采购单/1类B采购单/2类B采购单</w:t>
      </w:r>
      <w:r>
        <w:rPr>
          <w:rFonts w:hint="eastAsia" w:cs="Times New Roman"/>
          <w:kern w:val="2"/>
          <w:sz w:val="30"/>
          <w:szCs w:val="30"/>
          <w:lang w:val="en-US" w:bidi="ar-SA"/>
        </w:rPr>
        <w:t>申报企业同品种有多个规格的，仅须选择任一规格作为主品规进行申报。申报企业须选择符合申报条件的“供应清单”，清单内中选药品价格由省平台以申报主品规为代表品按药品差比价规则计算确定。</w:t>
      </w:r>
    </w:p>
    <w:p>
      <w:pPr>
        <w:autoSpaceDE/>
        <w:autoSpaceDN/>
        <w:spacing w:line="600" w:lineRule="exact"/>
        <w:ind w:firstLine="600" w:firstLineChars="200"/>
        <w:jc w:val="both"/>
        <w:rPr>
          <w:spacing w:val="-5"/>
          <w:sz w:val="30"/>
          <w:lang w:val="en-US"/>
        </w:rPr>
      </w:pPr>
      <w:r>
        <w:rPr>
          <w:rFonts w:hint="eastAsia" w:cs="Times New Roman"/>
          <w:kern w:val="2"/>
          <w:sz w:val="30"/>
          <w:szCs w:val="30"/>
          <w:lang w:val="en-US" w:bidi="ar-SA"/>
        </w:rPr>
        <w:t>4.规定时间内未报价或报错价的，报价结束后不得补报或修改，由此引起的一切后果由投标人自行负责。</w:t>
      </w:r>
    </w:p>
    <w:p>
      <w:pPr>
        <w:pStyle w:val="18"/>
        <w:tabs>
          <w:tab w:val="left" w:pos="1237"/>
        </w:tabs>
        <w:spacing w:line="600" w:lineRule="exact"/>
        <w:ind w:left="0" w:right="408" w:firstLine="580" w:firstLineChars="200"/>
        <w:jc w:val="both"/>
        <w:rPr>
          <w:rFonts w:cs="Times New Roman"/>
          <w:kern w:val="2"/>
          <w:sz w:val="30"/>
          <w:szCs w:val="30"/>
          <w:lang w:val="en-US" w:bidi="ar-SA"/>
        </w:rPr>
      </w:pPr>
      <w:r>
        <w:rPr>
          <w:rFonts w:hint="eastAsia"/>
          <w:spacing w:val="-5"/>
          <w:sz w:val="30"/>
          <w:lang w:val="en-US"/>
        </w:rPr>
        <w:t>5.</w:t>
      </w:r>
      <w:r>
        <w:rPr>
          <w:spacing w:val="-5"/>
          <w:sz w:val="30"/>
        </w:rPr>
        <w:t>本次药品集中采购所涉药品差比价关系参照现有规则</w:t>
      </w:r>
      <w:r>
        <w:rPr>
          <w:rFonts w:hint="eastAsia" w:cs="Times New Roman"/>
          <w:kern w:val="2"/>
          <w:sz w:val="30"/>
          <w:szCs w:val="30"/>
          <w:lang w:val="en-US" w:bidi="ar-SA"/>
        </w:rPr>
        <w:t>。</w:t>
      </w:r>
    </w:p>
    <w:p>
      <w:pPr>
        <w:autoSpaceDE/>
        <w:autoSpaceDN/>
        <w:spacing w:line="560" w:lineRule="exact"/>
        <w:ind w:firstLine="602" w:firstLineChars="200"/>
        <w:jc w:val="both"/>
        <w:rPr>
          <w:rFonts w:ascii="Arial" w:hAnsi="Arial" w:cs="Times New Roman"/>
          <w:b/>
          <w:bCs/>
          <w:kern w:val="2"/>
          <w:sz w:val="30"/>
          <w:szCs w:val="30"/>
          <w:lang w:val="en-US" w:bidi="ar-SA"/>
        </w:rPr>
      </w:pPr>
      <w:r>
        <w:rPr>
          <w:rFonts w:hint="eastAsia" w:ascii="Arial" w:hAnsi="Arial" w:cs="Times New Roman"/>
          <w:b/>
          <w:bCs/>
          <w:kern w:val="2"/>
          <w:sz w:val="30"/>
          <w:szCs w:val="30"/>
          <w:lang w:val="en-US" w:bidi="ar-SA"/>
        </w:rPr>
        <w:t>（五）申报材料的式样和签署</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1.申报材料须打印或用不褪色书写工具书写，并由申报企业加盖公章。申报企业须将以书面形式出具的《法定代表人授权书》（附件 2）附在申报材料中。</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2.申报企业除对笔误等作勘误外，不得行间插字、涂改或增删， 如有修改错漏处，必须由企业法定代表人或其授权代表签字或盖章。</w:t>
      </w:r>
    </w:p>
    <w:p>
      <w:pPr>
        <w:keepNext/>
        <w:keepLines/>
        <w:autoSpaceDE/>
        <w:autoSpaceDN/>
        <w:spacing w:line="560" w:lineRule="exact"/>
        <w:ind w:firstLine="600" w:firstLineChars="200"/>
        <w:jc w:val="both"/>
        <w:outlineLvl w:val="1"/>
        <w:rPr>
          <w:rFonts w:ascii="Arial" w:hAnsi="Arial" w:eastAsia="黑体" w:cs="Times New Roman"/>
          <w:kern w:val="2"/>
          <w:sz w:val="30"/>
          <w:szCs w:val="30"/>
          <w:lang w:val="en-US" w:bidi="ar-SA"/>
        </w:rPr>
      </w:pPr>
      <w:r>
        <w:rPr>
          <w:rFonts w:hint="eastAsia" w:ascii="Arial" w:hAnsi="Arial" w:eastAsia="黑体" w:cs="Times New Roman"/>
          <w:kern w:val="2"/>
          <w:sz w:val="30"/>
          <w:szCs w:val="30"/>
          <w:lang w:val="en-US" w:bidi="ar-SA"/>
        </w:rPr>
        <w:t>三、申报材料递交</w:t>
      </w:r>
    </w:p>
    <w:p>
      <w:pPr>
        <w:autoSpaceDE/>
        <w:autoSpaceDN/>
        <w:spacing w:line="560" w:lineRule="exact"/>
        <w:ind w:firstLine="602" w:firstLineChars="200"/>
        <w:jc w:val="both"/>
        <w:rPr>
          <w:rFonts w:ascii="Arial" w:hAnsi="Arial" w:cs="Times New Roman"/>
          <w:b/>
          <w:bCs/>
          <w:kern w:val="2"/>
          <w:sz w:val="28"/>
          <w:szCs w:val="28"/>
          <w:lang w:val="en-US" w:bidi="ar-SA"/>
        </w:rPr>
      </w:pPr>
      <w:r>
        <w:rPr>
          <w:rFonts w:hint="eastAsia" w:ascii="Arial" w:hAnsi="Arial" w:cs="Times New Roman"/>
          <w:b/>
          <w:bCs/>
          <w:kern w:val="2"/>
          <w:sz w:val="30"/>
          <w:szCs w:val="30"/>
          <w:lang w:val="en-US" w:bidi="ar-SA"/>
        </w:rPr>
        <w:t>（一）申报材料的封装和标记</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 申报企业应将“</w:t>
      </w:r>
      <w:r>
        <w:rPr>
          <w:rFonts w:hint="eastAsia" w:ascii="Arial" w:hAnsi="Arial" w:cs="Times New Roman"/>
          <w:kern w:val="2"/>
          <w:sz w:val="30"/>
          <w:szCs w:val="30"/>
          <w:lang w:val="en-US" w:bidi="ar-SA"/>
        </w:rPr>
        <w:t>1类A采购单/1类B采购单/2类B</w:t>
      </w:r>
      <w:r>
        <w:rPr>
          <w:rFonts w:hint="eastAsia" w:cs="Times New Roman"/>
          <w:kern w:val="2"/>
          <w:sz w:val="30"/>
          <w:szCs w:val="30"/>
          <w:lang w:val="en-US" w:bidi="ar-SA"/>
        </w:rPr>
        <w:t>采购单报价表（附件3-1、3-2、3-3）”单独密封，封口处用封条密封并加盖企业公章，标明申报截止时间前不得启封。同企业不同类别不同采购单须按类别和各采购单分别封装。</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2.附件1和附件2共同装入1个大信封，无需密封，另外递交进行核验。</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3.如果因信封密封不严，申报材料非人为因素提前启封造成的后果，由申报企业自行承担。</w:t>
      </w:r>
    </w:p>
    <w:p>
      <w:pPr>
        <w:autoSpaceDE/>
        <w:autoSpaceDN/>
        <w:spacing w:line="560" w:lineRule="exact"/>
        <w:ind w:firstLine="602" w:firstLineChars="200"/>
        <w:jc w:val="both"/>
        <w:rPr>
          <w:rFonts w:ascii="Arial" w:hAnsi="Arial" w:cs="Times New Roman"/>
          <w:b/>
          <w:bCs/>
          <w:kern w:val="2"/>
          <w:sz w:val="30"/>
          <w:szCs w:val="30"/>
          <w:lang w:val="en-US" w:bidi="ar-SA"/>
        </w:rPr>
      </w:pPr>
      <w:r>
        <w:rPr>
          <w:rFonts w:hint="eastAsia" w:ascii="Arial" w:hAnsi="Arial" w:cs="Times New Roman"/>
          <w:b/>
          <w:bCs/>
          <w:kern w:val="2"/>
          <w:sz w:val="30"/>
          <w:szCs w:val="30"/>
          <w:lang w:val="en-US" w:bidi="ar-SA"/>
        </w:rPr>
        <w:t>（二）申报截止时间</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1.申报企业应在规定地点和截止时间前递交申报材料。</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2.省药交中心拒绝接收在截止时间后递交的任何申报及申报材料。</w:t>
      </w:r>
    </w:p>
    <w:p>
      <w:pPr>
        <w:autoSpaceDE/>
        <w:autoSpaceDN/>
        <w:spacing w:line="56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3.申报截止时间后，申报企业不得对其申报材料做任何修改。</w:t>
      </w:r>
    </w:p>
    <w:p>
      <w:pPr>
        <w:keepNext/>
        <w:keepLines/>
        <w:autoSpaceDE/>
        <w:autoSpaceDN/>
        <w:spacing w:line="560" w:lineRule="exact"/>
        <w:ind w:firstLine="600" w:firstLineChars="200"/>
        <w:jc w:val="both"/>
        <w:outlineLvl w:val="1"/>
        <w:rPr>
          <w:rFonts w:ascii="Arial" w:hAnsi="Arial" w:eastAsia="黑体" w:cs="Times New Roman"/>
          <w:kern w:val="2"/>
          <w:sz w:val="30"/>
          <w:szCs w:val="30"/>
          <w:lang w:val="en-US" w:bidi="ar-SA"/>
        </w:rPr>
      </w:pPr>
      <w:r>
        <w:rPr>
          <w:rFonts w:hint="eastAsia" w:ascii="Arial" w:hAnsi="Arial" w:eastAsia="黑体" w:cs="Times New Roman"/>
          <w:kern w:val="2"/>
          <w:sz w:val="30"/>
          <w:szCs w:val="30"/>
          <w:lang w:val="en-US" w:bidi="ar-SA"/>
        </w:rPr>
        <w:t>四、申报信息公开</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申报信息公开时邀请所有申报企业、公证机构和有关部门参加，对申报信息公开的全过程进行监督。但申报企业不参加的，不影响信息公开的效力。</w:t>
      </w:r>
    </w:p>
    <w:p>
      <w:pPr>
        <w:keepNext/>
        <w:keepLines/>
        <w:autoSpaceDE/>
        <w:autoSpaceDN/>
        <w:spacing w:line="600" w:lineRule="exact"/>
        <w:ind w:firstLine="600" w:firstLineChars="200"/>
        <w:jc w:val="both"/>
        <w:outlineLvl w:val="1"/>
        <w:rPr>
          <w:rFonts w:cs="Times New Roman"/>
          <w:kern w:val="2"/>
          <w:sz w:val="30"/>
          <w:szCs w:val="30"/>
          <w:lang w:val="en-US" w:bidi="ar-SA"/>
        </w:rPr>
      </w:pPr>
      <w:r>
        <w:rPr>
          <w:rFonts w:hint="eastAsia" w:ascii="Arial" w:hAnsi="Arial" w:eastAsia="黑体" w:cs="Times New Roman"/>
          <w:kern w:val="2"/>
          <w:sz w:val="30"/>
          <w:szCs w:val="30"/>
          <w:lang w:val="en-US" w:bidi="ar-SA"/>
        </w:rPr>
        <w:t>五、拟中选产品确定</w:t>
      </w:r>
    </w:p>
    <w:p>
      <w:pPr>
        <w:autoSpaceDE/>
        <w:autoSpaceDN/>
        <w:spacing w:line="560" w:lineRule="exact"/>
        <w:ind w:firstLine="602" w:firstLineChars="200"/>
        <w:jc w:val="both"/>
        <w:rPr>
          <w:rFonts w:cs="Times New Roman"/>
          <w:b/>
          <w:bCs/>
          <w:kern w:val="2"/>
          <w:sz w:val="30"/>
          <w:szCs w:val="30"/>
          <w:lang w:val="en-US" w:bidi="ar-SA"/>
        </w:rPr>
      </w:pPr>
      <w:r>
        <w:rPr>
          <w:rFonts w:hint="eastAsia" w:cs="Times New Roman"/>
          <w:b/>
          <w:bCs/>
          <w:kern w:val="2"/>
          <w:sz w:val="30"/>
          <w:szCs w:val="30"/>
          <w:lang w:val="en-US" w:bidi="ar-SA"/>
        </w:rPr>
        <w:t>（一）1类A采购单/1类B采购单/2类B采购单拟中选企业确定规则</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符合第二条申报材料编制第（四）项第3点要求的企业申报价，1类A采购单/1类B采购单以采购品种目录中0.25g作为代表规格，按药品差比价规则折算至0.25g的价格作为“单位可比价”（四舍五入保留小数点后 4 位），1类A采购单/1类B采购单中“单位可比价”最低且符合附表中比值或差额的口服常释剂型/颗粒剂/泡腾片/干混悬剂各1家企业获得拟中选资格；2类B采购单“单位可比价”最低且符合附表中比值或差额的1家缓释控释剂型企业获得拟中选资格：</w:t>
      </w:r>
    </w:p>
    <w:p>
      <w:pPr>
        <w:autoSpaceDE/>
        <w:autoSpaceDN/>
        <w:spacing w:line="600" w:lineRule="exact"/>
        <w:ind w:firstLine="600" w:firstLineChars="200"/>
        <w:jc w:val="both"/>
        <w:rPr>
          <w:rFonts w:cs="Times New Roman"/>
          <w:b/>
          <w:bCs/>
          <w:kern w:val="2"/>
          <w:sz w:val="30"/>
          <w:szCs w:val="30"/>
          <w:lang w:val="en-US" w:bidi="ar-SA"/>
        </w:rPr>
      </w:pPr>
      <w:r>
        <w:rPr>
          <w:rFonts w:hint="eastAsia" w:cs="Times New Roman"/>
          <w:kern w:val="2"/>
          <w:sz w:val="30"/>
          <w:szCs w:val="30"/>
          <w:lang w:val="en-US" w:bidi="ar-SA"/>
        </w:rPr>
        <w:t>1.若颗粒剂的“单位可比价”小于或等于单位可比价最低的1家口服常释剂型企业的1.2倍时，“单位可比价”最低的1家颗粒剂企业获得拟中选资格。</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2.若泡腾片的“单位可比价”小于或等于单位可比价最低的1家口服常释剂型企业的1.3倍时，“单位可比价”最低的1家泡腾片企业获得拟中选资格。</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3.若干混悬剂的“单位可比价”小于或等于单位可比价最低的1家口服常释剂型企业的1.32倍时，“单位可比价”最低的1家干混悬剂企业获得拟中选资格。</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4.2类B采购单头孢氨苄缓释控释剂型0.25g每片的拟中选价格不高于0.42元，其他含量按药品差比价规则计算。</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附表：</w:t>
      </w:r>
    </w:p>
    <w:tbl>
      <w:tblPr>
        <w:tblStyle w:val="13"/>
        <w:tblW w:w="9657" w:type="dxa"/>
        <w:tblInd w:w="0" w:type="dxa"/>
        <w:tblLayout w:type="fixed"/>
        <w:tblCellMar>
          <w:top w:w="0" w:type="dxa"/>
          <w:left w:w="0" w:type="dxa"/>
          <w:bottom w:w="0" w:type="dxa"/>
          <w:right w:w="0" w:type="dxa"/>
        </w:tblCellMar>
      </w:tblPr>
      <w:tblGrid>
        <w:gridCol w:w="646"/>
        <w:gridCol w:w="1334"/>
        <w:gridCol w:w="1304"/>
        <w:gridCol w:w="1645"/>
        <w:gridCol w:w="833"/>
        <w:gridCol w:w="917"/>
        <w:gridCol w:w="1607"/>
        <w:gridCol w:w="1371"/>
      </w:tblGrid>
      <w:tr>
        <w:tblPrEx>
          <w:tblCellMar>
            <w:top w:w="0" w:type="dxa"/>
            <w:left w:w="0" w:type="dxa"/>
            <w:bottom w:w="0" w:type="dxa"/>
            <w:right w:w="0" w:type="dxa"/>
          </w:tblCellMar>
        </w:tblPrEx>
        <w:trPr>
          <w:trHeight w:val="6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21"/>
                <w:szCs w:val="21"/>
                <w:lang w:val="en-US" w:bidi="ar"/>
              </w:rPr>
            </w:pPr>
            <w:r>
              <w:rPr>
                <w:rFonts w:hint="eastAsia" w:ascii="方正仿宋简体" w:hAnsi="方正仿宋简体" w:eastAsia="方正仿宋简体" w:cs="方正仿宋简体"/>
                <w:color w:val="000000"/>
                <w:sz w:val="21"/>
                <w:szCs w:val="21"/>
                <w:lang w:val="en-US" w:bidi="ar"/>
              </w:rPr>
              <w:t>序号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1"/>
                <w:szCs w:val="21"/>
              </w:rPr>
            </w:pPr>
            <w:r>
              <w:rPr>
                <w:rFonts w:hint="eastAsia" w:ascii="方正仿宋简体" w:hAnsi="方正仿宋简体" w:eastAsia="方正仿宋简体" w:cs="方正仿宋简体"/>
                <w:color w:val="000000"/>
                <w:sz w:val="21"/>
                <w:szCs w:val="21"/>
                <w:lang w:val="en-US" w:bidi="ar"/>
              </w:rPr>
              <w:t>类别</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val="en-US" w:bidi="ar"/>
              </w:rPr>
              <w:t>品种名称</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val="en-US" w:bidi="ar"/>
              </w:rPr>
              <w:t>对应剂型</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val="en-US" w:bidi="ar"/>
              </w:rPr>
              <w:t>编号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val="en-US" w:bidi="ar"/>
              </w:rPr>
              <w:t>计算单位</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21"/>
                <w:szCs w:val="21"/>
                <w:lang w:val="en-US"/>
              </w:rPr>
            </w:pPr>
            <w:r>
              <w:rPr>
                <w:rFonts w:hint="eastAsia" w:ascii="方正仿宋简体" w:hAnsi="方正仿宋简体" w:eastAsia="方正仿宋简体" w:cs="方正仿宋简体"/>
                <w:color w:val="000000"/>
                <w:sz w:val="21"/>
                <w:szCs w:val="21"/>
                <w:lang w:val="en-US" w:bidi="ar"/>
              </w:rPr>
              <w:t>比值或差额</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val="en-US" w:bidi="ar"/>
              </w:rPr>
              <w:t>拟中选企业数</w:t>
            </w:r>
          </w:p>
        </w:tc>
      </w:tr>
      <w:tr>
        <w:tblPrEx>
          <w:tblCellMar>
            <w:top w:w="0" w:type="dxa"/>
            <w:left w:w="0" w:type="dxa"/>
            <w:bottom w:w="0" w:type="dxa"/>
            <w:right w:w="0" w:type="dxa"/>
          </w:tblCellMar>
        </w:tblPrEx>
        <w:trPr>
          <w:trHeight w:val="622" w:hRule="atLeast"/>
        </w:trPr>
        <w:tc>
          <w:tcPr>
            <w:tcW w:w="64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1</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1类A采购单</w:t>
            </w:r>
          </w:p>
          <w:p>
            <w:pPr>
              <w:widowControl/>
              <w:jc w:val="center"/>
              <w:textAlignment w:val="center"/>
              <w:rPr>
                <w:rFonts w:ascii="等线" w:hAnsi="等线" w:eastAsia="等线" w:cs="等线"/>
                <w:color w:val="000000"/>
                <w:lang w:val="en-US"/>
              </w:rPr>
            </w:pPr>
            <w:r>
              <w:rPr>
                <w:rFonts w:hint="eastAsia" w:ascii="方正仿宋简体" w:hAnsi="方正仿宋简体" w:eastAsia="方正仿宋简体" w:cs="方正仿宋简体"/>
                <w:color w:val="000000"/>
                <w:sz w:val="18"/>
                <w:szCs w:val="18"/>
                <w:lang w:val="en-US" w:bidi="ar"/>
              </w:rPr>
              <w:t>（过评产品）</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val="en-US" w:bidi="ar"/>
              </w:rPr>
              <w:t>头孢氨苄         口服常释剂型</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rPr>
            </w:pPr>
            <w:r>
              <w:rPr>
                <w:rFonts w:hint="eastAsia" w:ascii="方正仿宋简体" w:hAnsi="方正仿宋简体" w:eastAsia="方正仿宋简体" w:cs="方正仿宋简体"/>
                <w:color w:val="000000"/>
                <w:sz w:val="18"/>
                <w:szCs w:val="18"/>
                <w:lang w:val="en-US" w:bidi="ar"/>
              </w:rPr>
              <w:t>口服常释剂型（片剂、胶囊剂）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lang w:val="en-US"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每片</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val="en-US" w:bidi="ar"/>
              </w:rPr>
              <w:t>“单位可比价” 最低的1家</w:t>
            </w:r>
          </w:p>
        </w:tc>
      </w:tr>
      <w:tr>
        <w:tblPrEx>
          <w:tblCellMar>
            <w:top w:w="0" w:type="dxa"/>
            <w:left w:w="0" w:type="dxa"/>
            <w:bottom w:w="0" w:type="dxa"/>
            <w:right w:w="0" w:type="dxa"/>
          </w:tblCellMar>
        </w:tblPrEx>
        <w:trPr>
          <w:trHeight w:val="501" w:hRule="atLeast"/>
        </w:trPr>
        <w:tc>
          <w:tcPr>
            <w:tcW w:w="64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val="en-US" w:bidi="ar"/>
              </w:rPr>
              <w:t>头孢氨苄            颗粒剂</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val="en-US" w:bidi="ar"/>
              </w:rPr>
              <w:t>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lang w:val="en-US"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每袋</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lang w:val="en-US" w:bidi="ar"/>
              </w:rPr>
              <w:t>（2）÷（1）≤1.2</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val="en-US" w:bidi="ar"/>
              </w:rPr>
              <w:t>“单位可比价” 最低的1家</w:t>
            </w:r>
          </w:p>
        </w:tc>
      </w:tr>
      <w:tr>
        <w:tblPrEx>
          <w:tblCellMar>
            <w:top w:w="0" w:type="dxa"/>
            <w:left w:w="0" w:type="dxa"/>
            <w:bottom w:w="0" w:type="dxa"/>
            <w:right w:w="0" w:type="dxa"/>
          </w:tblCellMar>
        </w:tblPrEx>
        <w:trPr>
          <w:trHeight w:val="616" w:hRule="atLeast"/>
        </w:trPr>
        <w:tc>
          <w:tcPr>
            <w:tcW w:w="64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2</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lang w:val="en-US"/>
              </w:rPr>
            </w:pPr>
            <w:r>
              <w:rPr>
                <w:rFonts w:hint="eastAsia" w:ascii="方正仿宋简体" w:hAnsi="方正仿宋简体" w:eastAsia="方正仿宋简体" w:cs="方正仿宋简体"/>
                <w:color w:val="000000"/>
                <w:sz w:val="18"/>
                <w:szCs w:val="18"/>
                <w:lang w:val="en-US" w:bidi="ar"/>
              </w:rPr>
              <w:t>1类B采购单 （未过评产品）</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val="en-US" w:bidi="ar"/>
              </w:rPr>
              <w:t>头孢氨苄         口服常释剂型</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val="en-US" w:bidi="ar"/>
              </w:rPr>
              <w:t>口服常释剂型   （片剂）</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lang w:val="en-US"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lang w:val="en-US" w:bidi="ar"/>
              </w:rPr>
              <w:t>每片</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rPr>
            </w:pPr>
            <w:r>
              <w:rPr>
                <w:rFonts w:hint="eastAsia" w:ascii="等线" w:hAnsi="等线" w:eastAsia="等线" w:cs="等线"/>
                <w:color w:val="000000"/>
                <w:sz w:val="18"/>
                <w:szCs w:val="18"/>
                <w:lang w:val="en-US" w:bidi="ar"/>
              </w:rPr>
              <w:t>-</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val="en-US" w:bidi="ar"/>
              </w:rPr>
              <w:t>“单位可比价” 最低的1家</w:t>
            </w:r>
          </w:p>
        </w:tc>
      </w:tr>
      <w:tr>
        <w:tblPrEx>
          <w:tblCellMar>
            <w:top w:w="0" w:type="dxa"/>
            <w:left w:w="0" w:type="dxa"/>
            <w:bottom w:w="0" w:type="dxa"/>
            <w:right w:w="0" w:type="dxa"/>
          </w:tblCellMar>
        </w:tblPrEx>
        <w:trPr>
          <w:trHeight w:val="616" w:hRule="atLeast"/>
        </w:trPr>
        <w:tc>
          <w:tcPr>
            <w:tcW w:w="6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简体" w:hAnsi="方正仿宋简体" w:eastAsia="方正仿宋简体" w:cs="方正仿宋简体"/>
                <w:color w:val="000000"/>
                <w:sz w:val="18"/>
                <w:szCs w:val="18"/>
                <w:lang w:val="en-US" w:bidi="ar"/>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简体" w:hAnsi="方正仿宋简体" w:eastAsia="方正仿宋简体" w:cs="方正仿宋简体"/>
                <w:color w:val="000000"/>
                <w:sz w:val="18"/>
                <w:szCs w:val="18"/>
                <w:lang w:val="en-US" w:bidi="ar"/>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头孢氨苄            颗粒剂</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lang w:val="en-US" w:bidi="ar"/>
              </w:rPr>
            </w:pPr>
            <w:r>
              <w:rPr>
                <w:rFonts w:hint="eastAsia" w:ascii="等线" w:hAnsi="等线" w:eastAsia="等线" w:cs="等线"/>
                <w:color w:val="000000"/>
                <w:sz w:val="18"/>
                <w:szCs w:val="18"/>
                <w:lang w:val="en-US" w:bidi="ar"/>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lang w:val="en-US" w:bidi="ar"/>
              </w:rPr>
            </w:pPr>
            <w:r>
              <w:rPr>
                <w:rFonts w:hint="eastAsia"/>
                <w:color w:val="000000"/>
                <w:sz w:val="18"/>
                <w:szCs w:val="18"/>
                <w:lang w:val="en-US" w:bidi="ar"/>
              </w:rPr>
              <w:t>每袋</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lang w:val="en-US" w:bidi="ar"/>
              </w:rPr>
            </w:pPr>
            <w:r>
              <w:rPr>
                <w:rFonts w:hint="eastAsia" w:ascii="等线" w:hAnsi="等线" w:eastAsia="等线" w:cs="等线"/>
                <w:color w:val="000000"/>
                <w:sz w:val="18"/>
                <w:szCs w:val="18"/>
                <w:lang w:val="en-US" w:bidi="ar"/>
              </w:rPr>
              <w:t>（4）÷（3）≤1.2</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“单位可比价” 最低的1家</w:t>
            </w:r>
          </w:p>
        </w:tc>
      </w:tr>
      <w:tr>
        <w:tblPrEx>
          <w:tblCellMar>
            <w:top w:w="0" w:type="dxa"/>
            <w:left w:w="0" w:type="dxa"/>
            <w:bottom w:w="0" w:type="dxa"/>
            <w:right w:w="0" w:type="dxa"/>
          </w:tblCellMar>
        </w:tblPrEx>
        <w:trPr>
          <w:trHeight w:val="616" w:hRule="atLeast"/>
        </w:trPr>
        <w:tc>
          <w:tcPr>
            <w:tcW w:w="6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简体" w:hAnsi="方正仿宋简体" w:eastAsia="方正仿宋简体" w:cs="方正仿宋简体"/>
                <w:color w:val="000000"/>
                <w:sz w:val="18"/>
                <w:szCs w:val="18"/>
                <w:lang w:val="en-US" w:bidi="ar"/>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简体" w:hAnsi="方正仿宋简体" w:eastAsia="方正仿宋简体" w:cs="方正仿宋简体"/>
                <w:color w:val="000000"/>
                <w:sz w:val="18"/>
                <w:szCs w:val="18"/>
                <w:lang w:val="en-US" w:bidi="ar"/>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头孢氨苄           泡腾片</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泡腾片</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lang w:val="en-US" w:bidi="ar"/>
              </w:rPr>
            </w:pPr>
            <w:r>
              <w:rPr>
                <w:rFonts w:hint="eastAsia" w:ascii="等线" w:hAnsi="等线" w:eastAsia="等线" w:cs="等线"/>
                <w:color w:val="000000"/>
                <w:sz w:val="18"/>
                <w:szCs w:val="18"/>
                <w:lang w:val="en-US"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lang w:val="en-US" w:bidi="ar"/>
              </w:rPr>
            </w:pPr>
            <w:r>
              <w:rPr>
                <w:rFonts w:hint="eastAsia"/>
                <w:color w:val="000000"/>
                <w:sz w:val="18"/>
                <w:szCs w:val="18"/>
                <w:lang w:val="en-US" w:bidi="ar"/>
              </w:rPr>
              <w:t>每片</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lang w:val="en-US" w:bidi="ar"/>
              </w:rPr>
            </w:pPr>
            <w:r>
              <w:rPr>
                <w:rFonts w:hint="eastAsia" w:ascii="等线" w:hAnsi="等线" w:eastAsia="等线" w:cs="等线"/>
                <w:color w:val="000000"/>
                <w:sz w:val="18"/>
                <w:szCs w:val="18"/>
                <w:lang w:val="en-US" w:bidi="ar"/>
              </w:rPr>
              <w:t>（5）÷（3）≤1.3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“单位可比价” 最低的1家</w:t>
            </w:r>
          </w:p>
        </w:tc>
      </w:tr>
      <w:tr>
        <w:tblPrEx>
          <w:tblCellMar>
            <w:top w:w="0" w:type="dxa"/>
            <w:left w:w="0" w:type="dxa"/>
            <w:bottom w:w="0" w:type="dxa"/>
            <w:right w:w="0" w:type="dxa"/>
          </w:tblCellMar>
        </w:tblPrEx>
        <w:trPr>
          <w:trHeight w:val="616" w:hRule="atLeast"/>
        </w:trPr>
        <w:tc>
          <w:tcPr>
            <w:tcW w:w="64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简体" w:hAnsi="方正仿宋简体" w:eastAsia="方正仿宋简体" w:cs="方正仿宋简体"/>
                <w:color w:val="000000"/>
                <w:sz w:val="18"/>
                <w:szCs w:val="18"/>
                <w:lang w:val="en-US" w:bidi="ar"/>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简体" w:hAnsi="方正仿宋简体" w:eastAsia="方正仿宋简体" w:cs="方正仿宋简体"/>
                <w:color w:val="000000"/>
                <w:sz w:val="18"/>
                <w:szCs w:val="18"/>
                <w:lang w:val="en-US" w:bidi="ar"/>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头孢氨苄           口服液体剂</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干混悬剂</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lang w:val="en-US" w:bidi="ar"/>
              </w:rPr>
            </w:pPr>
            <w:r>
              <w:rPr>
                <w:rFonts w:hint="eastAsia" w:ascii="等线" w:hAnsi="等线" w:eastAsia="等线" w:cs="等线"/>
                <w:color w:val="000000"/>
                <w:sz w:val="18"/>
                <w:szCs w:val="18"/>
                <w:lang w:val="en-US" w:bidi="ar"/>
              </w:rPr>
              <w:t>（6）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lang w:val="en-US" w:bidi="ar"/>
              </w:rPr>
            </w:pPr>
            <w:r>
              <w:rPr>
                <w:rFonts w:hint="eastAsia"/>
                <w:color w:val="000000"/>
                <w:sz w:val="18"/>
                <w:szCs w:val="18"/>
                <w:lang w:val="en-US" w:bidi="ar"/>
              </w:rPr>
              <w:t>每袋</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lang w:val="en-US" w:bidi="ar"/>
              </w:rPr>
            </w:pPr>
            <w:r>
              <w:rPr>
                <w:rFonts w:hint="eastAsia" w:ascii="等线" w:hAnsi="等线" w:eastAsia="等线" w:cs="等线"/>
                <w:color w:val="000000"/>
                <w:sz w:val="18"/>
                <w:szCs w:val="18"/>
                <w:lang w:val="en-US" w:bidi="ar"/>
              </w:rPr>
              <w:t>（6）÷（3）≤1.32</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“单位可比价” 最低的1家</w:t>
            </w:r>
          </w:p>
        </w:tc>
      </w:tr>
      <w:tr>
        <w:tblPrEx>
          <w:tblCellMar>
            <w:top w:w="0" w:type="dxa"/>
            <w:left w:w="0" w:type="dxa"/>
            <w:bottom w:w="0" w:type="dxa"/>
            <w:right w:w="0" w:type="dxa"/>
          </w:tblCellMar>
        </w:tblPrEx>
        <w:trPr>
          <w:trHeight w:val="61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2类B采购单   （未过评产品）</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头孢氨苄              缓释控释剂型</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缓释控释剂型（缓释片、缓释胶囊）</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lang w:val="en-US" w:bidi="ar"/>
              </w:rPr>
            </w:pPr>
            <w:r>
              <w:rPr>
                <w:rFonts w:hint="eastAsia" w:ascii="等线" w:hAnsi="等线" w:eastAsia="等线" w:cs="等线"/>
                <w:color w:val="000000"/>
                <w:sz w:val="18"/>
                <w:szCs w:val="18"/>
                <w:lang w:val="en-US" w:bidi="ar"/>
              </w:rPr>
              <w:t>（7）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lang w:val="en-US" w:bidi="ar"/>
              </w:rPr>
            </w:pPr>
            <w:r>
              <w:rPr>
                <w:rFonts w:hint="eastAsia"/>
                <w:color w:val="000000"/>
                <w:sz w:val="18"/>
                <w:szCs w:val="18"/>
                <w:lang w:val="en-US" w:bidi="ar"/>
              </w:rPr>
              <w:t>每片</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18"/>
                <w:szCs w:val="18"/>
                <w:lang w:val="en-US" w:bidi="ar"/>
              </w:rPr>
            </w:pPr>
            <w:r>
              <w:rPr>
                <w:rFonts w:hint="eastAsia" w:ascii="等线" w:hAnsi="等线" w:eastAsia="等线" w:cs="等线"/>
                <w:color w:val="000000"/>
                <w:sz w:val="18"/>
                <w:szCs w:val="18"/>
                <w:lang w:val="en-US" w:bidi="ar"/>
              </w:rPr>
              <w:t>≤0.42元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lang w:val="en-US" w:bidi="ar"/>
              </w:rPr>
            </w:pPr>
            <w:r>
              <w:rPr>
                <w:rFonts w:hint="eastAsia" w:ascii="方正仿宋简体" w:hAnsi="方正仿宋简体" w:eastAsia="方正仿宋简体" w:cs="方正仿宋简体"/>
                <w:color w:val="000000"/>
                <w:sz w:val="18"/>
                <w:szCs w:val="18"/>
                <w:lang w:val="en-US" w:bidi="ar"/>
              </w:rPr>
              <w:t>“单位可比价” 最低的1家</w:t>
            </w:r>
          </w:p>
        </w:tc>
      </w:tr>
    </w:tbl>
    <w:p>
      <w:pPr>
        <w:autoSpaceDE/>
        <w:autoSpaceDN/>
        <w:spacing w:line="400" w:lineRule="exact"/>
        <w:ind w:firstLine="420" w:firstLineChars="200"/>
        <w:jc w:val="both"/>
        <w:rPr>
          <w:rFonts w:cs="Times New Roman"/>
          <w:kern w:val="2"/>
          <w:sz w:val="21"/>
          <w:szCs w:val="21"/>
          <w:lang w:val="en-US" w:bidi="ar-SA"/>
        </w:rPr>
      </w:pPr>
      <w:r>
        <w:rPr>
          <w:rFonts w:hint="eastAsia" w:cs="Times New Roman"/>
          <w:kern w:val="2"/>
          <w:sz w:val="21"/>
          <w:szCs w:val="21"/>
          <w:lang w:val="en-US" w:bidi="ar-SA"/>
        </w:rPr>
        <w:t xml:space="preserve"> 备注：上述附表中的编号是指同类别同采购单中对应剂型的“单位可比价”，以及对应剂型“单位可比价”之间的比值或差额关系。1类不同采购单中对应剂型的“单位可比价”均以同一采购单中“</w:t>
      </w:r>
      <w:r>
        <w:rPr>
          <w:rFonts w:hint="eastAsia" w:ascii="方正仿宋简体" w:hAnsi="方正仿宋简体" w:eastAsia="方正仿宋简体" w:cs="方正仿宋简体"/>
          <w:color w:val="000000"/>
          <w:sz w:val="18"/>
          <w:szCs w:val="18"/>
          <w:lang w:val="en-US" w:bidi="ar"/>
        </w:rPr>
        <w:t>口服常释剂型</w:t>
      </w:r>
      <w:r>
        <w:rPr>
          <w:rFonts w:hint="eastAsia" w:cs="Times New Roman"/>
          <w:kern w:val="2"/>
          <w:sz w:val="21"/>
          <w:szCs w:val="21"/>
          <w:lang w:val="en-US" w:bidi="ar-SA"/>
        </w:rPr>
        <w:t>”为基础，按照规定的药品差比价关系制定价格。</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5.口服常释剂型/颗粒剂/泡腾片/干混悬剂/缓释控释剂型拟中选产品获得1类A采购单/1类B采购单/2类B采购单联盟地区同类别同采购单中对应剂型的首年预采购总量。</w:t>
      </w:r>
    </w:p>
    <w:p>
      <w:pPr>
        <w:autoSpaceDE/>
        <w:autoSpaceDN/>
        <w:spacing w:line="600" w:lineRule="exact"/>
        <w:ind w:firstLine="602" w:firstLineChars="200"/>
        <w:jc w:val="both"/>
        <w:rPr>
          <w:rFonts w:cs="Times New Roman"/>
          <w:b/>
          <w:bCs/>
          <w:kern w:val="2"/>
          <w:sz w:val="30"/>
          <w:szCs w:val="30"/>
          <w:lang w:val="en-US" w:bidi="ar-SA"/>
        </w:rPr>
      </w:pPr>
      <w:r>
        <w:rPr>
          <w:rFonts w:hint="eastAsia" w:cs="Times New Roman"/>
          <w:b/>
          <w:bCs/>
          <w:kern w:val="2"/>
          <w:sz w:val="30"/>
          <w:szCs w:val="30"/>
          <w:lang w:val="en-US" w:bidi="ar-SA"/>
        </w:rPr>
        <w:t>（二）1类A采购单/1类B采购单/2类B采购单拟中选价格的确定规则</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1.1类A采购单头孢氨苄口服常释剂型0.25g每片的拟中选价格不高于0.1100元，其他含量按药品差比价规则计算。</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2.1类B采购单中头孢氨苄口服常释剂型/颗粒剂/泡腾片/干混悬剂拟中选价格不高于1类A采购单对应剂型拟中选价格。若1类A采购单中头孢氨苄颗粒剂/泡腾片/干混悬剂无拟中选价格的，则1类B采购单</w:t>
      </w:r>
      <w:r>
        <w:rPr>
          <w:rFonts w:cs="Times New Roman"/>
          <w:kern w:val="2"/>
          <w:sz w:val="30"/>
          <w:szCs w:val="30"/>
          <w:lang w:val="en-US" w:bidi="ar-SA"/>
        </w:rPr>
        <w:t>中头孢氨苄</w:t>
      </w:r>
      <w:r>
        <w:rPr>
          <w:rFonts w:hint="eastAsia" w:cs="Times New Roman"/>
          <w:kern w:val="2"/>
          <w:sz w:val="30"/>
          <w:szCs w:val="30"/>
          <w:lang w:val="en-US" w:bidi="ar-SA"/>
        </w:rPr>
        <w:t>颗粒剂/泡腾片/</w:t>
      </w:r>
      <w:r>
        <w:rPr>
          <w:rFonts w:cs="Times New Roman"/>
          <w:kern w:val="2"/>
          <w:sz w:val="30"/>
          <w:szCs w:val="30"/>
          <w:lang w:val="en-US" w:bidi="ar-SA"/>
        </w:rPr>
        <w:t>干混悬剂拟中选价格不高于</w:t>
      </w:r>
      <w:r>
        <w:rPr>
          <w:rFonts w:hint="eastAsia" w:cs="Times New Roman"/>
          <w:kern w:val="2"/>
          <w:sz w:val="30"/>
          <w:szCs w:val="30"/>
          <w:lang w:val="en-US" w:bidi="ar-SA"/>
        </w:rPr>
        <w:t>1类A采购单</w:t>
      </w:r>
      <w:r>
        <w:rPr>
          <w:rFonts w:cs="Times New Roman"/>
          <w:kern w:val="2"/>
          <w:sz w:val="30"/>
          <w:szCs w:val="30"/>
          <w:lang w:val="en-US" w:bidi="ar-SA"/>
        </w:rPr>
        <w:t>口服常释剂型拟中选价格的</w:t>
      </w:r>
      <w:r>
        <w:rPr>
          <w:rFonts w:hint="eastAsia" w:cs="Times New Roman"/>
          <w:kern w:val="2"/>
          <w:sz w:val="30"/>
          <w:szCs w:val="30"/>
          <w:lang w:val="en-US" w:bidi="ar-SA"/>
        </w:rPr>
        <w:t>1.2/1.3/1.32</w:t>
      </w:r>
      <w:r>
        <w:rPr>
          <w:rFonts w:cs="Times New Roman"/>
          <w:kern w:val="2"/>
          <w:sz w:val="30"/>
          <w:szCs w:val="30"/>
          <w:lang w:val="en-US" w:bidi="ar-SA"/>
        </w:rPr>
        <w:t>倍。</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3.若1类A采购单中头孢氨苄口服常释剂型无拟中选价格的，则1类A采购单中头孢氨苄颗粒剂拟中选价格不高于第1点口服常释剂型0.25g每片0.1100元的1.2倍；1类B采购单中头孢氨苄口服常释剂型/颗粒剂/泡腾片/干混悬剂拟中选价格不高于第1点口服常释剂型0.25g每片0.1100元的1/1.2/1.3/1.32倍。</w:t>
      </w:r>
    </w:p>
    <w:p>
      <w:pPr>
        <w:autoSpaceDE/>
        <w:autoSpaceDN/>
        <w:spacing w:line="600" w:lineRule="exact"/>
        <w:ind w:firstLine="602" w:firstLineChars="200"/>
        <w:jc w:val="both"/>
        <w:rPr>
          <w:rFonts w:cs="Times New Roman"/>
          <w:b/>
          <w:bCs/>
          <w:kern w:val="2"/>
          <w:sz w:val="30"/>
          <w:szCs w:val="30"/>
          <w:lang w:val="en-US" w:bidi="ar-SA"/>
        </w:rPr>
      </w:pPr>
      <w:r>
        <w:rPr>
          <w:rFonts w:hint="eastAsia" w:cs="Times New Roman"/>
          <w:b/>
          <w:bCs/>
          <w:kern w:val="2"/>
          <w:sz w:val="30"/>
          <w:szCs w:val="30"/>
          <w:lang w:val="en-US" w:bidi="ar-SA"/>
        </w:rPr>
        <w:t>（三）1类A采购单/1类B采购单/2类B采购单申报企业“单位可比价”相同时，按以下规则依次确定拟中选企业：</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1.2020年联盟供应地区数多的企业优先（以联盟地区报送数据为依据）；</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2.2020 年在联盟地区销售量大的企业优先，多个规格的品种， 销售量合并计算（以联盟地区报送数据为依据）；</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3.通过或视同通过国家药品监督管理局仿制药质量和疗效一致性评价时间在前的企业优先（以国家药品监督管理局批准日期为准）；</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4.原料药自产的企业优先（限指原料药和制剂生产企业为同一法人）。</w:t>
      </w:r>
    </w:p>
    <w:p>
      <w:pPr>
        <w:autoSpaceDE/>
        <w:autoSpaceDN/>
        <w:spacing w:line="600" w:lineRule="exact"/>
        <w:ind w:firstLine="602" w:firstLineChars="200"/>
        <w:jc w:val="both"/>
        <w:rPr>
          <w:rFonts w:cs="Times New Roman"/>
          <w:b/>
          <w:bCs/>
          <w:kern w:val="2"/>
          <w:sz w:val="30"/>
          <w:szCs w:val="30"/>
          <w:lang w:val="en-US" w:bidi="ar-SA"/>
        </w:rPr>
      </w:pPr>
      <w:r>
        <w:rPr>
          <w:rFonts w:hint="eastAsia" w:cs="Times New Roman"/>
          <w:b/>
          <w:bCs/>
          <w:kern w:val="2"/>
          <w:sz w:val="30"/>
          <w:szCs w:val="30"/>
          <w:lang w:val="en-US" w:bidi="ar-SA"/>
        </w:rPr>
        <w:t>（四）公示拟中选结果</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根据生产企业上述竞价结果，分别公示1类A采购单/1类B采购单/2类B采购单拟中选企业申报价。若各类别各采购单中的每一个竞价剂型均有拟中选企业时，同步公示拟中选企业的预采购量；若同类别同采购单中头孢氨苄口服常释剂型/颗粒剂/泡腾片/干混悬剂/缓释控释剂型无拟中选企业时，则待确认未中选采购量后再正式公布拟中选企业的预采购量。</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2.拟中选结果在省平台（www. gdmede.com.cn）进行公示，并接受复核申请。复核申请应在公示期间内提出，并依法依规提供合法有效证明材料。未提供相应证明材料的，原则上不予受理。</w:t>
      </w:r>
    </w:p>
    <w:p>
      <w:pPr>
        <w:autoSpaceDE/>
        <w:autoSpaceDN/>
        <w:spacing w:line="600" w:lineRule="exact"/>
        <w:ind w:firstLine="602" w:firstLineChars="200"/>
        <w:jc w:val="both"/>
        <w:rPr>
          <w:rFonts w:cs="Times New Roman"/>
          <w:b/>
          <w:bCs/>
          <w:kern w:val="2"/>
          <w:sz w:val="30"/>
          <w:szCs w:val="30"/>
          <w:lang w:val="en-US" w:bidi="ar-SA"/>
        </w:rPr>
      </w:pPr>
      <w:r>
        <w:rPr>
          <w:rFonts w:hint="eastAsia" w:cs="Times New Roman"/>
          <w:b/>
          <w:bCs/>
          <w:kern w:val="2"/>
          <w:sz w:val="30"/>
          <w:szCs w:val="30"/>
          <w:lang w:val="en-US" w:bidi="ar-SA"/>
        </w:rPr>
        <w:t>（五）拟中选结果替补原则</w:t>
      </w:r>
    </w:p>
    <w:p>
      <w:pPr>
        <w:pStyle w:val="2"/>
        <w:spacing w:line="600" w:lineRule="exact"/>
        <w:ind w:firstLine="600" w:firstLineChars="200"/>
        <w:rPr>
          <w:rFonts w:hint="default" w:ascii="仿宋" w:hAnsi="仿宋" w:eastAsia="仿宋"/>
          <w:color w:val="auto"/>
          <w:kern w:val="2"/>
          <w:sz w:val="30"/>
          <w:szCs w:val="30"/>
        </w:rPr>
      </w:pPr>
      <w:r>
        <w:rPr>
          <w:rFonts w:ascii="仿宋" w:hAnsi="仿宋" w:eastAsia="仿宋"/>
          <w:color w:val="auto"/>
          <w:kern w:val="2"/>
          <w:sz w:val="30"/>
          <w:szCs w:val="30"/>
        </w:rPr>
        <w:t>若同类别同采购单中口服常释剂型/颗粒剂/泡腾片/干混悬剂/缓释控释剂型“单位可比价”最低的1家企业不接受拟中选价格确定原则的，按同类别同采购单中口服常释剂型/颗粒剂/泡腾片/干混悬剂/缓释控释剂型“单位可比价”由低到高重新确定拟中选资格，“单位可比价”最低的为第一顺位，次低的为第二顺位，依次类推确定其他顺位并按拟中选价格确定原则进行替补。</w:t>
      </w:r>
    </w:p>
    <w:p>
      <w:pPr>
        <w:autoSpaceDE/>
        <w:autoSpaceDN/>
        <w:spacing w:line="600" w:lineRule="exact"/>
        <w:ind w:firstLine="602" w:firstLineChars="200"/>
        <w:jc w:val="both"/>
        <w:rPr>
          <w:rFonts w:cs="Times New Roman"/>
          <w:b/>
          <w:bCs/>
          <w:kern w:val="2"/>
          <w:sz w:val="30"/>
          <w:szCs w:val="30"/>
          <w:lang w:val="en-US" w:bidi="ar-SA"/>
        </w:rPr>
      </w:pPr>
      <w:r>
        <w:rPr>
          <w:rFonts w:hint="eastAsia" w:cs="Times New Roman"/>
          <w:b/>
          <w:bCs/>
          <w:kern w:val="2"/>
          <w:sz w:val="30"/>
          <w:szCs w:val="30"/>
          <w:lang w:val="en-US" w:bidi="ar-SA"/>
        </w:rPr>
        <w:t>（六）确认未中选采购量</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1.获得未中选采购量重新确认资格的是：1类A采购单/1类B采购单/2类B采购单拟中选产品。</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2.未中选采购量是指：1类A采购单/1类B采购单/2类B采购单中头孢氨苄口服常释剂型/颗粒剂/泡腾片/干混悬剂/缓释控释剂型未中选的剂型联盟地区</w:t>
      </w:r>
      <w:r>
        <w:rPr>
          <w:rFonts w:hint="eastAsia" w:ascii="Arial" w:hAnsi="Arial" w:cs="Times New Roman"/>
          <w:kern w:val="2"/>
          <w:sz w:val="30"/>
          <w:szCs w:val="30"/>
          <w:lang w:val="en-US" w:bidi="ar-SA"/>
        </w:rPr>
        <w:t>对应剂型的</w:t>
      </w:r>
      <w:r>
        <w:rPr>
          <w:rFonts w:hint="eastAsia" w:cs="Times New Roman"/>
          <w:kern w:val="2"/>
          <w:sz w:val="30"/>
          <w:szCs w:val="30"/>
          <w:lang w:val="en-US" w:bidi="ar-SA"/>
        </w:rPr>
        <w:t>首年预采购总量。</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3.省内医疗机构仅对头孢氨苄未中选剂型的首年预采购总量进行调整并确认。联盟地区相关省的医疗机构按上述规定调整确认未中选采购量，亦可在省平台上操作，并报本省医疗保障局审核盖章后上传广东省平台。</w:t>
      </w:r>
    </w:p>
    <w:p>
      <w:pPr>
        <w:autoSpaceDE/>
        <w:autoSpaceDN/>
        <w:spacing w:line="600" w:lineRule="exact"/>
        <w:ind w:firstLine="602" w:firstLineChars="200"/>
        <w:jc w:val="both"/>
        <w:rPr>
          <w:rFonts w:cs="Times New Roman"/>
          <w:b/>
          <w:bCs/>
          <w:kern w:val="2"/>
          <w:sz w:val="30"/>
          <w:szCs w:val="30"/>
          <w:lang w:val="en-US" w:bidi="ar-SA"/>
        </w:rPr>
      </w:pPr>
      <w:r>
        <w:rPr>
          <w:rFonts w:hint="eastAsia" w:cs="Times New Roman"/>
          <w:b/>
          <w:bCs/>
          <w:kern w:val="2"/>
          <w:sz w:val="30"/>
          <w:szCs w:val="30"/>
          <w:lang w:val="en-US" w:bidi="ar-SA"/>
        </w:rPr>
        <w:t>（七）最终预采购量</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1类A采购单/1类B采购单/2类B采购单拟中选产品获得同类别同采购单中对应口服常释剂型/颗粒剂/泡腾片/干混悬剂/缓释控释剂型的首年预采购量。</w:t>
      </w:r>
    </w:p>
    <w:p>
      <w:pPr>
        <w:autoSpaceDE/>
        <w:autoSpaceDN/>
        <w:spacing w:line="600" w:lineRule="exact"/>
        <w:ind w:firstLine="602" w:firstLineChars="200"/>
        <w:jc w:val="both"/>
        <w:rPr>
          <w:rFonts w:cs="Times New Roman"/>
          <w:b/>
          <w:bCs/>
          <w:kern w:val="2"/>
          <w:sz w:val="30"/>
          <w:szCs w:val="30"/>
          <w:lang w:val="en-US" w:bidi="ar-SA"/>
        </w:rPr>
      </w:pPr>
      <w:r>
        <w:rPr>
          <w:rFonts w:hint="eastAsia" w:cs="Times New Roman"/>
          <w:b/>
          <w:bCs/>
          <w:kern w:val="2"/>
          <w:sz w:val="30"/>
          <w:szCs w:val="30"/>
          <w:lang w:val="en-US" w:bidi="ar-SA"/>
        </w:rPr>
        <w:t>（八）确定中选结果</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依据医疗机构确认的最终报量，1类A采购单/1类B采购单/2类B采购单拟中选价格以及对应的首年预采购量为本次采购的中选结果。</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省药交中心将发布中选通知。并以公证书的方式递交联盟地区的省级医疗保障局。</w:t>
      </w:r>
    </w:p>
    <w:p>
      <w:pPr>
        <w:keepNext/>
        <w:keepLines/>
        <w:autoSpaceDE/>
        <w:autoSpaceDN/>
        <w:spacing w:line="560" w:lineRule="exact"/>
        <w:ind w:firstLine="600" w:firstLineChars="200"/>
        <w:jc w:val="both"/>
        <w:outlineLvl w:val="1"/>
        <w:rPr>
          <w:rFonts w:ascii="Arial" w:hAnsi="Arial" w:eastAsia="黑体" w:cs="Times New Roman"/>
          <w:kern w:val="2"/>
          <w:sz w:val="30"/>
          <w:szCs w:val="30"/>
          <w:lang w:val="en-US" w:bidi="ar-SA"/>
        </w:rPr>
      </w:pPr>
      <w:bookmarkStart w:id="39" w:name="_Toc18277"/>
      <w:bookmarkStart w:id="40" w:name="_Toc57277301"/>
      <w:r>
        <w:rPr>
          <w:rFonts w:hint="eastAsia" w:ascii="Arial" w:hAnsi="Arial" w:eastAsia="黑体" w:cs="Times New Roman"/>
          <w:kern w:val="2"/>
          <w:sz w:val="30"/>
          <w:szCs w:val="30"/>
          <w:lang w:val="en-US" w:bidi="ar-SA"/>
        </w:rPr>
        <w:t>六、</w:t>
      </w:r>
      <w:bookmarkEnd w:id="39"/>
      <w:r>
        <w:rPr>
          <w:rFonts w:hint="eastAsia" w:ascii="Arial" w:hAnsi="Arial" w:eastAsia="黑体" w:cs="Times New Roman"/>
          <w:kern w:val="2"/>
          <w:sz w:val="30"/>
          <w:szCs w:val="30"/>
          <w:lang w:val="en-US" w:bidi="ar-SA"/>
        </w:rPr>
        <w:t>采购协议</w:t>
      </w:r>
      <w:bookmarkEnd w:id="40"/>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1.省药交中心发布中选通知后，按照中选</w:t>
      </w:r>
      <w:r>
        <w:rPr>
          <w:rFonts w:hint="eastAsia" w:ascii="Arial" w:hAnsi="Arial"/>
          <w:sz w:val="32"/>
          <w:szCs w:val="32"/>
          <w:lang w:val="en-US"/>
        </w:rPr>
        <w:t>头孢氨苄</w:t>
      </w:r>
      <w:r>
        <w:rPr>
          <w:rFonts w:hint="eastAsia" w:ascii="Arial" w:hAnsi="Arial"/>
          <w:sz w:val="32"/>
          <w:szCs w:val="32"/>
        </w:rPr>
        <w:t>产品</w:t>
      </w:r>
      <w:r>
        <w:rPr>
          <w:rFonts w:hint="eastAsia" w:cs="Times New Roman"/>
          <w:kern w:val="2"/>
          <w:sz w:val="30"/>
          <w:szCs w:val="30"/>
          <w:lang w:val="en-US" w:bidi="ar-SA"/>
        </w:rPr>
        <w:t>及其中选价格在省平台上完成挂网工作，省内交易各方签订采购协议（附件4）并执行。</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2.联盟地区省医疗保障部门组织本地区签订采购协议并实施。</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3.采购协议签订后，采购方与中选企业不得再订立背离采购协议实质性内容的其他协议，或提出除采购协议之外的任何利益性要求。</w:t>
      </w:r>
    </w:p>
    <w:p>
      <w:pPr>
        <w:keepNext/>
        <w:keepLines/>
        <w:autoSpaceDE/>
        <w:autoSpaceDN/>
        <w:spacing w:line="560" w:lineRule="exact"/>
        <w:ind w:firstLine="600" w:firstLineChars="200"/>
        <w:jc w:val="both"/>
        <w:outlineLvl w:val="1"/>
        <w:rPr>
          <w:rFonts w:ascii="Arial" w:hAnsi="Arial" w:eastAsia="黑体" w:cs="Times New Roman"/>
          <w:kern w:val="2"/>
          <w:sz w:val="30"/>
          <w:szCs w:val="30"/>
          <w:lang w:val="en-US" w:bidi="ar-SA"/>
        </w:rPr>
      </w:pPr>
      <w:r>
        <w:rPr>
          <w:rFonts w:hint="eastAsia" w:ascii="Arial" w:hAnsi="Arial" w:eastAsia="黑体" w:cs="Times New Roman"/>
          <w:kern w:val="2"/>
          <w:sz w:val="30"/>
          <w:szCs w:val="30"/>
          <w:lang w:val="en-US" w:bidi="ar-SA"/>
        </w:rPr>
        <w:t>七、其他</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（一）本次参与联盟地区集团采购的省医疗机构确认待分配量工作，原则上2021年*月*日前完成后上传广东省平台。</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（二）若属于本次</w:t>
      </w:r>
      <w:r>
        <w:rPr>
          <w:rFonts w:hint="eastAsia" w:ascii="Arial" w:hAnsi="Arial"/>
          <w:sz w:val="32"/>
          <w:szCs w:val="32"/>
          <w:lang w:val="en-US"/>
        </w:rPr>
        <w:t>头孢氨苄药品</w:t>
      </w:r>
      <w:r>
        <w:rPr>
          <w:rFonts w:hint="eastAsia" w:cs="Times New Roman"/>
          <w:kern w:val="2"/>
          <w:sz w:val="30"/>
          <w:szCs w:val="30"/>
          <w:lang w:val="en-US" w:bidi="ar-SA"/>
        </w:rPr>
        <w:t>范围的产品（含批准文号及剂型）未报名参加联盟地区集团带量采购的，在采购周期内不予挂网采购。</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1.根据国办发〔2021〕2号要求，头孢氨苄胶囊剂</w:t>
      </w:r>
      <w:r>
        <w:rPr>
          <w:rFonts w:hint="eastAsia" w:ascii="Arial" w:hAnsi="Arial" w:cs="Times New Roman"/>
          <w:kern w:val="2"/>
          <w:sz w:val="30"/>
          <w:szCs w:val="30"/>
          <w:lang w:val="en-US" w:bidi="ar-SA"/>
        </w:rPr>
        <w:t>通过一致性评价的仿制药数量超过3个，未通过一致性评价的</w:t>
      </w:r>
      <w:r>
        <w:rPr>
          <w:rFonts w:hint="eastAsia" w:cs="Times New Roman"/>
          <w:kern w:val="2"/>
          <w:sz w:val="30"/>
          <w:szCs w:val="30"/>
          <w:lang w:val="en-US" w:bidi="ar-SA"/>
        </w:rPr>
        <w:t>头孢氨苄胶囊剂不予挂网采购。</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2.报名参加本次头孢氨苄口服常释剂型（除未</w:t>
      </w:r>
      <w:r>
        <w:rPr>
          <w:rFonts w:hint="eastAsia" w:ascii="Arial" w:hAnsi="Arial" w:cs="Times New Roman"/>
          <w:kern w:val="2"/>
          <w:sz w:val="30"/>
          <w:szCs w:val="30"/>
          <w:lang w:val="en-US" w:bidi="ar-SA"/>
        </w:rPr>
        <w:t>通过一致性评价的</w:t>
      </w:r>
      <w:r>
        <w:rPr>
          <w:rFonts w:hint="eastAsia" w:cs="Times New Roman"/>
          <w:kern w:val="2"/>
          <w:sz w:val="30"/>
          <w:szCs w:val="30"/>
          <w:lang w:val="en-US" w:bidi="ar-SA"/>
        </w:rPr>
        <w:t>胶囊剂外）、口服液体剂、颗粒剂、泡腾片、缓释控释剂型联盟地区集团带量采购的非中选产品可挂网交易，其挂网价格取本企业批准文号及主规格的申报价格、省外中标（挂网）价格之间的低值；同生产企业同通用名不同剂型规格的挂网价格（不区分是否挂网品规）按就低原则，具体由省平台按药品差比价规则计算，企业自愿接受的，予以挂网采购。</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3.非中选产品是指已报价但未中选的批准文号及剂型。</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在采购周期内，若国家和省有新规定的，从其规定。</w:t>
      </w:r>
    </w:p>
    <w:p>
      <w:pPr>
        <w:autoSpaceDE/>
        <w:autoSpaceDN/>
        <w:spacing w:line="600" w:lineRule="exact"/>
        <w:ind w:firstLine="600" w:firstLineChars="200"/>
        <w:jc w:val="both"/>
        <w:rPr>
          <w:rFonts w:cs="Times New Roman"/>
          <w:kern w:val="2"/>
          <w:sz w:val="30"/>
          <w:szCs w:val="30"/>
          <w:lang w:val="en-US" w:bidi="ar-SA"/>
        </w:rPr>
      </w:pPr>
      <w:r>
        <w:rPr>
          <w:rFonts w:hint="eastAsia" w:cs="Times New Roman"/>
          <w:kern w:val="2"/>
          <w:sz w:val="30"/>
          <w:szCs w:val="30"/>
          <w:lang w:val="en-US" w:bidi="ar-SA"/>
        </w:rPr>
        <w:t>（三）其他事项</w:t>
      </w:r>
    </w:p>
    <w:p>
      <w:pPr>
        <w:autoSpaceDE/>
        <w:autoSpaceDN/>
        <w:spacing w:line="560" w:lineRule="exact"/>
        <w:ind w:firstLine="600" w:firstLineChars="200"/>
        <w:jc w:val="both"/>
        <w:rPr>
          <w:rFonts w:ascii="Arial" w:hAnsi="Arial" w:cs="Times New Roman"/>
          <w:kern w:val="2"/>
          <w:sz w:val="30"/>
          <w:szCs w:val="30"/>
          <w:lang w:val="en-US" w:bidi="ar-SA"/>
        </w:rPr>
      </w:pPr>
      <w:r>
        <w:rPr>
          <w:rFonts w:hint="eastAsia" w:cs="Times New Roman"/>
          <w:kern w:val="2"/>
          <w:sz w:val="30"/>
          <w:szCs w:val="30"/>
          <w:lang w:val="en-US" w:bidi="ar-SA"/>
        </w:rPr>
        <w:t>1.</w:t>
      </w:r>
      <w:r>
        <w:rPr>
          <w:rFonts w:hint="eastAsia" w:ascii="Arial" w:hAnsi="Arial" w:cs="Times New Roman"/>
          <w:kern w:val="2"/>
          <w:sz w:val="30"/>
          <w:szCs w:val="30"/>
          <w:lang w:val="en-US" w:bidi="ar-SA"/>
        </w:rPr>
        <w:t>中选品种出现被药品监督管理部门暂停生产、销售、使用、进口等情况，取消中选资格。</w:t>
      </w:r>
    </w:p>
    <w:p>
      <w:pPr>
        <w:autoSpaceDE/>
        <w:autoSpaceDN/>
        <w:spacing w:line="560" w:lineRule="exact"/>
        <w:ind w:firstLine="600" w:firstLineChars="200"/>
        <w:jc w:val="both"/>
        <w:rPr>
          <w:rFonts w:ascii="Arial" w:hAnsi="Arial" w:cs="Times New Roman"/>
          <w:kern w:val="2"/>
          <w:sz w:val="30"/>
          <w:szCs w:val="30"/>
          <w:lang w:val="en-US" w:bidi="ar-SA"/>
        </w:rPr>
      </w:pPr>
      <w:r>
        <w:rPr>
          <w:rFonts w:hint="eastAsia"/>
          <w:kern w:val="2"/>
          <w:sz w:val="30"/>
          <w:szCs w:val="30"/>
          <w:lang w:val="en-US" w:bidi="ar-SA"/>
        </w:rPr>
        <w:t>2.中</w:t>
      </w:r>
      <w:r>
        <w:rPr>
          <w:rFonts w:hint="eastAsia" w:ascii="Arial" w:hAnsi="Arial" w:cs="Times New Roman"/>
          <w:kern w:val="2"/>
          <w:sz w:val="30"/>
          <w:szCs w:val="30"/>
          <w:lang w:val="en-US" w:bidi="ar-SA"/>
        </w:rPr>
        <w:t>选企业出现中选品种无法供应或取消中选资格等情况， 致使协议无法继续履行时，</w:t>
      </w:r>
      <w:r>
        <w:rPr>
          <w:rFonts w:hint="eastAsia" w:cs="Times New Roman"/>
          <w:kern w:val="2"/>
          <w:sz w:val="30"/>
          <w:szCs w:val="30"/>
          <w:lang w:val="en-US" w:bidi="ar-SA"/>
        </w:rPr>
        <w:t>由医疗机构在中选产品中自主选择替补供应企业</w:t>
      </w:r>
      <w:r>
        <w:rPr>
          <w:rFonts w:hint="eastAsia" w:ascii="Arial" w:hAnsi="Arial" w:cs="Times New Roman"/>
          <w:kern w:val="2"/>
          <w:sz w:val="30"/>
          <w:szCs w:val="30"/>
          <w:lang w:val="en-US" w:bidi="ar-SA"/>
        </w:rPr>
        <w:t>，由替补企业按替补企业中选价进行供应，因保障供应产生的额外支出由无法履行协议的企业承担。</w:t>
      </w:r>
    </w:p>
    <w:p>
      <w:pPr>
        <w:autoSpaceDE/>
        <w:autoSpaceDN/>
        <w:spacing w:line="560" w:lineRule="exact"/>
        <w:ind w:firstLine="600" w:firstLineChars="200"/>
        <w:jc w:val="both"/>
        <w:rPr>
          <w:rFonts w:ascii="Arial" w:hAnsi="Arial" w:cs="Times New Roman"/>
          <w:kern w:val="2"/>
          <w:sz w:val="30"/>
          <w:szCs w:val="30"/>
          <w:lang w:val="en-US" w:bidi="ar-SA"/>
        </w:rPr>
      </w:pPr>
      <w:r>
        <w:rPr>
          <w:rFonts w:hint="eastAsia" w:ascii="Arial" w:hAnsi="Arial" w:cs="Times New Roman"/>
          <w:kern w:val="2"/>
          <w:sz w:val="30"/>
          <w:szCs w:val="30"/>
          <w:lang w:val="en-US" w:bidi="ar-SA"/>
        </w:rPr>
        <w:t>（四）本采购文件仅适用于本次药品集团带量采购所述项目的药品及相关服务，最终解释权归省药交中心。</w:t>
      </w:r>
    </w:p>
    <w:p>
      <w:pPr>
        <w:rPr>
          <w:rFonts w:hint="default"/>
        </w:rPr>
        <w:sectPr>
          <w:pgSz w:w="11910" w:h="16840"/>
          <w:pgMar w:top="1580" w:right="1040" w:bottom="1220" w:left="1300" w:header="1145" w:footer="1035" w:gutter="0"/>
          <w:pgNumType w:fmt="numberInDash"/>
          <w:cols w:space="720" w:num="1"/>
        </w:sectPr>
      </w:pPr>
      <w:r>
        <w:rPr>
          <w:rFonts w:hint="default"/>
        </w:rPr>
        <w:br w:type="page"/>
      </w:r>
    </w:p>
    <w:p>
      <w:pPr>
        <w:pStyle w:val="3"/>
        <w:rPr>
          <w:rFonts w:ascii="华文中宋" w:hAnsi="华文中宋" w:eastAsia="华文中宋" w:cs="华文中宋"/>
          <w:b w:val="0"/>
          <w:bCs/>
        </w:rPr>
      </w:pPr>
      <w:bookmarkStart w:id="41" w:name="_Toc57277303"/>
      <w:r>
        <w:rPr>
          <w:rFonts w:hint="eastAsia" w:ascii="华文中宋" w:hAnsi="华文中宋" w:eastAsia="华文中宋" w:cs="华文中宋"/>
          <w:b w:val="0"/>
          <w:bCs/>
        </w:rPr>
        <w:t>第三部分 附件</w:t>
      </w:r>
      <w:bookmarkEnd w:id="41"/>
    </w:p>
    <w:p>
      <w:pPr>
        <w:pStyle w:val="4"/>
      </w:pPr>
      <w:bookmarkStart w:id="42" w:name="_Toc17748598"/>
      <w:bookmarkStart w:id="43" w:name="_Toc6023"/>
      <w:r>
        <w:rPr>
          <w:rFonts w:hint="eastAsia"/>
        </w:rPr>
        <w:t>附件1</w:t>
      </w:r>
    </w:p>
    <w:p>
      <w:pPr>
        <w:pStyle w:val="4"/>
        <w:jc w:val="center"/>
        <w:rPr>
          <w:rFonts w:hint="eastAsia" w:ascii="方正小标宋简体" w:hAnsi="Times New Roman" w:eastAsia="方正小标宋简体"/>
          <w:color w:val="444444"/>
          <w:sz w:val="44"/>
          <w:szCs w:val="44"/>
          <w:lang w:eastAsia="zh-CN"/>
        </w:rPr>
      </w:pPr>
      <w:bookmarkStart w:id="44" w:name="_Toc57277304"/>
      <w:r>
        <w:rPr>
          <w:rFonts w:hint="eastAsia" w:ascii="方正小标宋简体" w:hAnsi="Times New Roman" w:eastAsia="方正小标宋简体"/>
          <w:sz w:val="44"/>
          <w:szCs w:val="44"/>
        </w:rPr>
        <w:t>医药企业价格和营销行为信用承诺</w:t>
      </w:r>
      <w:bookmarkEnd w:id="44"/>
      <w:r>
        <w:rPr>
          <w:rFonts w:hint="eastAsia" w:ascii="方正小标宋简体" w:hAnsi="Times New Roman" w:eastAsia="方正小标宋简体"/>
          <w:sz w:val="44"/>
          <w:szCs w:val="44"/>
          <w:lang w:eastAsia="zh-CN"/>
        </w:rPr>
        <w:t>书</w:t>
      </w:r>
    </w:p>
    <w:p>
      <w:pPr>
        <w:spacing w:line="600" w:lineRule="exact"/>
        <w:rPr>
          <w:rFonts w:ascii="Times New Roman" w:hAnsi="Times New Roman"/>
          <w:color w:val="444444"/>
          <w:sz w:val="32"/>
          <w:szCs w:val="32"/>
        </w:rPr>
      </w:pPr>
    </w:p>
    <w:p>
      <w:pPr>
        <w:keepNext w:val="0"/>
        <w:keepLines w:val="0"/>
        <w:pageBreakBefore w:val="0"/>
        <w:widowControl w:val="0"/>
        <w:kinsoku/>
        <w:wordWrap/>
        <w:overflowPunct/>
        <w:topLinePunct w:val="0"/>
        <w:bidi w:val="0"/>
        <w:snapToGrid/>
        <w:spacing w:line="600" w:lineRule="exact"/>
        <w:jc w:val="both"/>
        <w:textAlignment w:val="auto"/>
        <w:rPr>
          <w:rFonts w:ascii="Arial" w:hAnsi="Arial"/>
          <w:sz w:val="32"/>
          <w:szCs w:val="32"/>
        </w:rPr>
      </w:pPr>
      <w:r>
        <w:rPr>
          <w:rFonts w:hint="eastAsia" w:ascii="Arial" w:hAnsi="Arial"/>
          <w:sz w:val="32"/>
          <w:szCs w:val="32"/>
        </w:rPr>
        <w:t>广东省药品交易中心：</w:t>
      </w:r>
    </w:p>
    <w:p>
      <w:pPr>
        <w:keepNext w:val="0"/>
        <w:keepLines w:val="0"/>
        <w:pageBreakBefore w:val="0"/>
        <w:widowControl w:val="0"/>
        <w:kinsoku/>
        <w:wordWrap/>
        <w:overflowPunct/>
        <w:topLinePunct w:val="0"/>
        <w:bidi w:val="0"/>
        <w:snapToGrid/>
        <w:spacing w:line="600" w:lineRule="exact"/>
        <w:ind w:firstLine="600"/>
        <w:jc w:val="both"/>
        <w:textAlignment w:val="auto"/>
        <w:rPr>
          <w:rFonts w:ascii="Arial" w:hAnsi="Arial"/>
          <w:sz w:val="32"/>
          <w:szCs w:val="32"/>
        </w:rPr>
      </w:pPr>
      <w:r>
        <w:rPr>
          <w:rFonts w:hint="eastAsia" w:ascii="Arial" w:hAnsi="Arial"/>
          <w:sz w:val="32"/>
          <w:szCs w:val="32"/>
        </w:rPr>
        <w:t>我方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rPr>
        <w:t xml:space="preserve">        </w:t>
      </w:r>
      <w:r>
        <w:rPr>
          <w:rFonts w:hint="eastAsia" w:ascii="Arial" w:hAnsi="Arial"/>
          <w:sz w:val="32"/>
          <w:szCs w:val="32"/>
          <w:lang w:val="en-US"/>
        </w:rPr>
        <w:t>（×××公司），在</w:t>
      </w:r>
      <w:r>
        <w:rPr>
          <w:rFonts w:hint="eastAsia" w:ascii="Arial" w:hAnsi="Arial"/>
          <w:sz w:val="32"/>
          <w:szCs w:val="32"/>
        </w:rPr>
        <w:t>充分理解</w:t>
      </w:r>
      <w:r>
        <w:rPr>
          <w:rFonts w:hint="eastAsia" w:ascii="Arial" w:hAnsi="Arial"/>
          <w:sz w:val="32"/>
          <w:szCs w:val="32"/>
          <w:lang w:val="en-US"/>
        </w:rPr>
        <w:t>头孢氨苄药品</w:t>
      </w:r>
      <w:r>
        <w:rPr>
          <w:rFonts w:hint="eastAsia" w:ascii="Arial" w:hAnsi="Arial"/>
          <w:sz w:val="32"/>
          <w:szCs w:val="32"/>
        </w:rPr>
        <w:t>联盟地区集团带量采购文件（</w:t>
      </w:r>
      <w:r>
        <w:rPr>
          <w:rFonts w:hint="default" w:ascii="Times New Roman" w:hAnsi="Times New Roman" w:cs="Times New Roman"/>
          <w:sz w:val="32"/>
          <w:szCs w:val="32"/>
        </w:rPr>
        <w:t>编号：</w:t>
      </w:r>
      <w:r>
        <w:rPr>
          <w:rFonts w:hint="default" w:ascii="Times New Roman" w:hAnsi="Times New Roman" w:eastAsia="仿宋_GB2312" w:cs="Times New Roman"/>
          <w:sz w:val="32"/>
          <w:szCs w:val="32"/>
        </w:rPr>
        <w:t>GDYJYPDL20210</w:t>
      </w:r>
      <w:r>
        <w:rPr>
          <w:rFonts w:hint="default" w:ascii="Times New Roman" w:hAnsi="Times New Roman" w:eastAsia="仿宋_GB2312" w:cs="Times New Roman"/>
          <w:sz w:val="32"/>
          <w:szCs w:val="32"/>
          <w:lang w:val="en-US"/>
        </w:rPr>
        <w:t>1</w:t>
      </w:r>
      <w:r>
        <w:rPr>
          <w:rFonts w:hint="eastAsia" w:ascii="Arial" w:hAnsi="Arial"/>
          <w:sz w:val="32"/>
          <w:szCs w:val="32"/>
        </w:rPr>
        <w:t>）后，我方作为申报</w:t>
      </w:r>
      <w:r>
        <w:rPr>
          <w:rFonts w:hint="eastAsia" w:ascii="Arial" w:hAnsi="Arial"/>
          <w:sz w:val="32"/>
          <w:szCs w:val="32"/>
          <w:lang w:val="en-US"/>
        </w:rPr>
        <w:t>头孢氨苄药品</w:t>
      </w:r>
      <w:r>
        <w:rPr>
          <w:rFonts w:hint="eastAsia" w:ascii="Arial" w:hAnsi="Arial"/>
          <w:sz w:val="32"/>
          <w:szCs w:val="32"/>
        </w:rPr>
        <w:t>及伴随服务的国内</w:t>
      </w:r>
      <w:r>
        <w:rPr>
          <w:rFonts w:hint="eastAsia" w:ascii="Arial" w:hAnsi="Arial"/>
          <w:sz w:val="32"/>
          <w:szCs w:val="32"/>
          <w:lang w:val="en-US"/>
        </w:rPr>
        <w:t>药品</w:t>
      </w:r>
      <w:r>
        <w:rPr>
          <w:rFonts w:hint="eastAsia" w:ascii="Arial" w:hAnsi="Arial"/>
          <w:sz w:val="32"/>
          <w:szCs w:val="32"/>
        </w:rPr>
        <w:t>生产企业（或进口</w:t>
      </w:r>
      <w:r>
        <w:rPr>
          <w:rFonts w:hint="eastAsia" w:ascii="Arial" w:hAnsi="Arial"/>
          <w:sz w:val="32"/>
          <w:szCs w:val="32"/>
          <w:lang w:val="en-US"/>
        </w:rPr>
        <w:t>药品</w:t>
      </w:r>
      <w:r>
        <w:rPr>
          <w:rFonts w:hint="eastAsia" w:ascii="Arial" w:hAnsi="Arial"/>
          <w:sz w:val="32"/>
          <w:szCs w:val="32"/>
        </w:rPr>
        <w:t>国内总代理），决定按照采购文件的规定申报参与。我方保证申报的价格及其他相关证明材料的真实性、合法性、有效性。</w:t>
      </w:r>
    </w:p>
    <w:p>
      <w:pPr>
        <w:keepNext w:val="0"/>
        <w:keepLines w:val="0"/>
        <w:pageBreakBefore w:val="0"/>
        <w:widowControl w:val="0"/>
        <w:kinsoku/>
        <w:wordWrap/>
        <w:overflowPunct/>
        <w:topLinePunct w:val="0"/>
        <w:bidi w:val="0"/>
        <w:snapToGrid/>
        <w:spacing w:line="600" w:lineRule="exact"/>
        <w:ind w:firstLine="600"/>
        <w:jc w:val="both"/>
        <w:textAlignment w:val="auto"/>
        <w:rPr>
          <w:rFonts w:ascii="Arial" w:hAnsi="Arial"/>
          <w:sz w:val="32"/>
          <w:szCs w:val="32"/>
        </w:rPr>
      </w:pPr>
      <w:r>
        <w:rPr>
          <w:rFonts w:hint="eastAsia" w:ascii="Arial" w:hAnsi="Arial"/>
          <w:sz w:val="32"/>
          <w:szCs w:val="32"/>
        </w:rPr>
        <w:t>我方已充分考虑原材料价格等因素，并以此申报。我方承诺申报价不低于本企业该品种成本价。我方完全理解及遵守采购文件中的中选</w:t>
      </w:r>
      <w:r>
        <w:rPr>
          <w:rFonts w:hint="eastAsia" w:ascii="Arial" w:hAnsi="Arial"/>
          <w:sz w:val="32"/>
          <w:szCs w:val="32"/>
          <w:lang w:val="en-US"/>
        </w:rPr>
        <w:t>药品</w:t>
      </w:r>
      <w:r>
        <w:rPr>
          <w:rFonts w:hint="eastAsia" w:ascii="Arial" w:hAnsi="Arial"/>
          <w:sz w:val="32"/>
          <w:szCs w:val="32"/>
        </w:rPr>
        <w:t>确认规则，理解贵方不一定要接受最低申报价的申报，所有分组不一定有中选结果。</w:t>
      </w:r>
    </w:p>
    <w:p>
      <w:pPr>
        <w:keepNext w:val="0"/>
        <w:keepLines w:val="0"/>
        <w:pageBreakBefore w:val="0"/>
        <w:widowControl w:val="0"/>
        <w:kinsoku/>
        <w:wordWrap/>
        <w:overflowPunct/>
        <w:topLinePunct w:val="0"/>
        <w:bidi w:val="0"/>
        <w:snapToGrid/>
        <w:spacing w:line="600" w:lineRule="exact"/>
        <w:ind w:firstLine="600"/>
        <w:jc w:val="both"/>
        <w:textAlignment w:val="auto"/>
        <w:rPr>
          <w:rFonts w:ascii="Arial" w:hAnsi="Arial"/>
          <w:sz w:val="32"/>
          <w:szCs w:val="32"/>
        </w:rPr>
      </w:pPr>
      <w:r>
        <w:rPr>
          <w:rFonts w:hint="eastAsia" w:ascii="Arial" w:hAnsi="Arial"/>
          <w:sz w:val="32"/>
          <w:szCs w:val="32"/>
        </w:rPr>
        <w:t>我方就参与本次</w:t>
      </w:r>
      <w:r>
        <w:rPr>
          <w:rFonts w:hint="eastAsia" w:ascii="Arial" w:hAnsi="Arial"/>
          <w:sz w:val="32"/>
          <w:szCs w:val="32"/>
          <w:lang w:val="en-US"/>
        </w:rPr>
        <w:t>头孢氨苄药品</w:t>
      </w:r>
      <w:r>
        <w:rPr>
          <w:rFonts w:hint="eastAsia" w:ascii="Arial" w:hAnsi="Arial"/>
          <w:sz w:val="32"/>
          <w:szCs w:val="32"/>
        </w:rPr>
        <w:t>联盟地区集团带量采购、产品配送，郑重做出以下承诺：</w:t>
      </w:r>
    </w:p>
    <w:p>
      <w:pPr>
        <w:keepNext w:val="0"/>
        <w:keepLines w:val="0"/>
        <w:pageBreakBefore w:val="0"/>
        <w:widowControl w:val="0"/>
        <w:kinsoku/>
        <w:wordWrap/>
        <w:overflowPunct/>
        <w:topLinePunct w:val="0"/>
        <w:bidi w:val="0"/>
        <w:snapToGrid/>
        <w:spacing w:line="600" w:lineRule="exact"/>
        <w:ind w:firstLine="600"/>
        <w:jc w:val="both"/>
        <w:textAlignment w:val="auto"/>
        <w:rPr>
          <w:rFonts w:ascii="黑体" w:hAnsi="黑体" w:eastAsia="黑体" w:cs="华文中宋"/>
          <w:sz w:val="32"/>
          <w:szCs w:val="32"/>
        </w:rPr>
      </w:pPr>
      <w:r>
        <w:rPr>
          <w:rFonts w:hint="eastAsia" w:ascii="黑体" w:hAnsi="黑体" w:eastAsia="黑体" w:cs="华文中宋"/>
          <w:sz w:val="32"/>
          <w:szCs w:val="32"/>
        </w:rPr>
        <w:t>一、严守法纪、恪守诚信</w:t>
      </w:r>
    </w:p>
    <w:p>
      <w:pPr>
        <w:keepNext w:val="0"/>
        <w:keepLines w:val="0"/>
        <w:pageBreakBefore w:val="0"/>
        <w:widowControl w:val="0"/>
        <w:kinsoku/>
        <w:wordWrap/>
        <w:overflowPunct/>
        <w:topLinePunct w:val="0"/>
        <w:bidi w:val="0"/>
        <w:snapToGrid/>
        <w:spacing w:line="600" w:lineRule="exact"/>
        <w:ind w:firstLine="600"/>
        <w:jc w:val="both"/>
        <w:textAlignment w:val="auto"/>
        <w:rPr>
          <w:rFonts w:ascii="Arial" w:hAnsi="Arial"/>
          <w:sz w:val="32"/>
          <w:szCs w:val="32"/>
        </w:rPr>
      </w:pPr>
      <w:r>
        <w:rPr>
          <w:rFonts w:hint="eastAsia" w:ascii="Arial" w:hAnsi="Arial"/>
          <w:sz w:val="32"/>
          <w:szCs w:val="32"/>
        </w:rPr>
        <w:t>（一）我方承诺，自觉遵守民法典合同法价格法医疗器械监督管理条例反不正当竞争法反垄断法等法律法规，医药价格和招标采购的政策，以及</w:t>
      </w:r>
      <w:r>
        <w:rPr>
          <w:rFonts w:hint="eastAsia" w:ascii="Arial" w:hAnsi="Arial"/>
          <w:sz w:val="32"/>
          <w:szCs w:val="32"/>
          <w:lang w:val="en-US"/>
        </w:rPr>
        <w:t>头孢氨苄药品</w:t>
      </w:r>
      <w:r>
        <w:rPr>
          <w:rFonts w:hint="eastAsia" w:ascii="Arial" w:hAnsi="Arial"/>
          <w:sz w:val="32"/>
          <w:szCs w:val="32"/>
        </w:rPr>
        <w:t>联盟地区集团采购文件之规定，诚信经营，共同营造公平的交易环境。</w:t>
      </w:r>
    </w:p>
    <w:p>
      <w:pPr>
        <w:keepNext w:val="0"/>
        <w:keepLines w:val="0"/>
        <w:pageBreakBefore w:val="0"/>
        <w:widowControl w:val="0"/>
        <w:kinsoku/>
        <w:wordWrap/>
        <w:overflowPunct/>
        <w:topLinePunct w:val="0"/>
        <w:bidi w:val="0"/>
        <w:snapToGrid/>
        <w:spacing w:line="600" w:lineRule="exact"/>
        <w:ind w:firstLine="600"/>
        <w:jc w:val="both"/>
        <w:textAlignment w:val="auto"/>
        <w:rPr>
          <w:rFonts w:ascii="Arial" w:hAnsi="Arial"/>
          <w:sz w:val="32"/>
          <w:szCs w:val="32"/>
        </w:rPr>
      </w:pPr>
      <w:r>
        <w:rPr>
          <w:rFonts w:hint="eastAsia" w:ascii="Arial" w:hAnsi="Arial"/>
          <w:sz w:val="32"/>
          <w:szCs w:val="32"/>
        </w:rPr>
        <w:t>（二）我方承诺，不向采购我方</w:t>
      </w:r>
      <w:r>
        <w:rPr>
          <w:rFonts w:hint="eastAsia" w:ascii="Arial" w:hAnsi="Arial"/>
          <w:sz w:val="32"/>
          <w:szCs w:val="32"/>
          <w:lang w:val="en-US"/>
        </w:rPr>
        <w:t>头孢氨苄</w:t>
      </w:r>
      <w:r>
        <w:rPr>
          <w:rFonts w:hint="eastAsia" w:ascii="Arial" w:hAnsi="Arial"/>
          <w:sz w:val="32"/>
          <w:szCs w:val="32"/>
        </w:rPr>
        <w:t>产品的医疗机构管理人员、采购人员、医师、药师等有关人员给予回扣或其他不正当利益。</w:t>
      </w:r>
    </w:p>
    <w:p>
      <w:pPr>
        <w:keepNext w:val="0"/>
        <w:keepLines w:val="0"/>
        <w:pageBreakBefore w:val="0"/>
        <w:widowControl w:val="0"/>
        <w:kinsoku/>
        <w:wordWrap/>
        <w:overflowPunct/>
        <w:topLinePunct w:val="0"/>
        <w:bidi w:val="0"/>
        <w:snapToGrid/>
        <w:spacing w:line="600" w:lineRule="exact"/>
        <w:ind w:firstLine="600"/>
        <w:jc w:val="both"/>
        <w:textAlignment w:val="auto"/>
        <w:rPr>
          <w:rFonts w:ascii="Arial" w:hAnsi="Arial"/>
          <w:sz w:val="32"/>
          <w:szCs w:val="32"/>
        </w:rPr>
      </w:pPr>
      <w:r>
        <w:rPr>
          <w:rFonts w:hint="eastAsia" w:ascii="Arial" w:hAnsi="Arial"/>
          <w:sz w:val="32"/>
          <w:szCs w:val="32"/>
        </w:rPr>
        <w:t>（三）我方承诺，不实施虚开虚受增值税发票及其他形式虚构服务套现洗钱行为。</w:t>
      </w:r>
    </w:p>
    <w:p>
      <w:pPr>
        <w:keepNext w:val="0"/>
        <w:keepLines w:val="0"/>
        <w:pageBreakBefore w:val="0"/>
        <w:widowControl w:val="0"/>
        <w:kinsoku/>
        <w:wordWrap/>
        <w:overflowPunct/>
        <w:topLinePunct w:val="0"/>
        <w:bidi w:val="0"/>
        <w:snapToGrid/>
        <w:spacing w:line="600" w:lineRule="exact"/>
        <w:ind w:firstLine="600"/>
        <w:jc w:val="both"/>
        <w:textAlignment w:val="auto"/>
        <w:rPr>
          <w:rFonts w:ascii="Arial" w:hAnsi="Arial"/>
          <w:sz w:val="32"/>
          <w:szCs w:val="32"/>
        </w:rPr>
      </w:pPr>
      <w:r>
        <w:rPr>
          <w:rFonts w:hint="eastAsia" w:ascii="Arial" w:hAnsi="Arial"/>
          <w:sz w:val="32"/>
          <w:szCs w:val="32"/>
        </w:rPr>
        <w:t>（四）我方承诺，不利用</w:t>
      </w:r>
      <w:r>
        <w:rPr>
          <w:rFonts w:hint="eastAsia" w:ascii="Arial" w:hAnsi="Arial"/>
          <w:sz w:val="32"/>
          <w:szCs w:val="32"/>
          <w:lang w:val="en-US"/>
        </w:rPr>
        <w:t>头孢氨苄</w:t>
      </w:r>
      <w:r>
        <w:rPr>
          <w:rFonts w:hint="eastAsia" w:ascii="Arial" w:hAnsi="Arial"/>
          <w:sz w:val="32"/>
          <w:szCs w:val="32"/>
        </w:rPr>
        <w:t>产品垄断地位或市场支配地位，操纵</w:t>
      </w:r>
      <w:r>
        <w:rPr>
          <w:rFonts w:hint="eastAsia" w:ascii="Arial" w:hAnsi="Arial"/>
          <w:sz w:val="32"/>
          <w:szCs w:val="32"/>
          <w:lang w:val="en-US"/>
        </w:rPr>
        <w:t>头孢氨苄</w:t>
      </w:r>
      <w:r>
        <w:rPr>
          <w:rFonts w:hint="eastAsia" w:ascii="Arial" w:hAnsi="Arial"/>
          <w:sz w:val="32"/>
          <w:szCs w:val="32"/>
        </w:rPr>
        <w:t>产品价格和供应牟取暴利。不针对不同群体、不同渠道制定实施明显不合理的差异化定价。</w:t>
      </w:r>
    </w:p>
    <w:p>
      <w:pPr>
        <w:keepNext w:val="0"/>
        <w:keepLines w:val="0"/>
        <w:pageBreakBefore w:val="0"/>
        <w:widowControl w:val="0"/>
        <w:kinsoku/>
        <w:wordWrap/>
        <w:overflowPunct/>
        <w:topLinePunct w:val="0"/>
        <w:bidi w:val="0"/>
        <w:snapToGrid/>
        <w:spacing w:line="600" w:lineRule="exact"/>
        <w:ind w:firstLine="600"/>
        <w:jc w:val="both"/>
        <w:textAlignment w:val="auto"/>
        <w:rPr>
          <w:rFonts w:ascii="黑体" w:hAnsi="黑体" w:eastAsia="黑体" w:cs="华文中宋"/>
          <w:sz w:val="32"/>
          <w:szCs w:val="32"/>
        </w:rPr>
      </w:pPr>
      <w:r>
        <w:rPr>
          <w:rFonts w:hint="eastAsia" w:ascii="黑体" w:hAnsi="黑体" w:eastAsia="黑体" w:cs="华文中宋"/>
          <w:sz w:val="32"/>
          <w:szCs w:val="32"/>
        </w:rPr>
        <w:t>二、履行合同、配合监管</w:t>
      </w:r>
    </w:p>
    <w:p>
      <w:pPr>
        <w:keepNext w:val="0"/>
        <w:keepLines w:val="0"/>
        <w:pageBreakBefore w:val="0"/>
        <w:widowControl w:val="0"/>
        <w:kinsoku/>
        <w:wordWrap/>
        <w:overflowPunct/>
        <w:topLinePunct w:val="0"/>
        <w:bidi w:val="0"/>
        <w:snapToGrid/>
        <w:spacing w:line="600" w:lineRule="exact"/>
        <w:ind w:firstLine="600"/>
        <w:jc w:val="both"/>
        <w:textAlignment w:val="auto"/>
        <w:rPr>
          <w:rFonts w:ascii="Arial" w:hAnsi="Arial"/>
          <w:sz w:val="32"/>
          <w:szCs w:val="32"/>
        </w:rPr>
      </w:pPr>
      <w:r>
        <w:rPr>
          <w:rFonts w:hint="eastAsia" w:ascii="Arial" w:hAnsi="Arial"/>
          <w:sz w:val="32"/>
          <w:szCs w:val="32"/>
        </w:rPr>
        <w:t>（一）我方承诺，具有履行协议必须具备的</w:t>
      </w:r>
      <w:r>
        <w:rPr>
          <w:rFonts w:hint="eastAsia" w:ascii="Arial" w:hAnsi="Arial"/>
          <w:sz w:val="32"/>
          <w:szCs w:val="32"/>
          <w:lang w:val="en-US"/>
        </w:rPr>
        <w:t>头孢氨苄药品</w:t>
      </w:r>
      <w:r>
        <w:rPr>
          <w:rFonts w:hint="eastAsia" w:ascii="Arial" w:hAnsi="Arial"/>
          <w:sz w:val="32"/>
          <w:szCs w:val="32"/>
        </w:rPr>
        <w:t>供应能力，除我方不可抗的因素造成供应困难外，保证在采购周期按照中标（挂网）价格及时足量供应</w:t>
      </w:r>
      <w:r>
        <w:rPr>
          <w:rFonts w:hint="eastAsia" w:ascii="Arial" w:hAnsi="Arial"/>
          <w:sz w:val="32"/>
          <w:szCs w:val="32"/>
          <w:lang w:val="en-US"/>
        </w:rPr>
        <w:t>头孢氨苄</w:t>
      </w:r>
      <w:r>
        <w:rPr>
          <w:rFonts w:hint="eastAsia" w:ascii="Arial" w:hAnsi="Arial"/>
          <w:sz w:val="32"/>
          <w:szCs w:val="32"/>
        </w:rPr>
        <w:t>产品，满足临床需求。采购主体通过省平台发出订单，我方中选产品的配送企业收到订单后将及时在省平台响应；24小时内送到，最长不超过48小时；节假日照常配送。</w:t>
      </w:r>
    </w:p>
    <w:p>
      <w:pPr>
        <w:keepNext w:val="0"/>
        <w:keepLines w:val="0"/>
        <w:pageBreakBefore w:val="0"/>
        <w:widowControl w:val="0"/>
        <w:kinsoku/>
        <w:wordWrap/>
        <w:overflowPunct/>
        <w:topLinePunct w:val="0"/>
        <w:bidi w:val="0"/>
        <w:snapToGrid/>
        <w:spacing w:line="600" w:lineRule="exact"/>
        <w:ind w:firstLine="600"/>
        <w:jc w:val="both"/>
        <w:textAlignment w:val="auto"/>
        <w:rPr>
          <w:rFonts w:ascii="Arial" w:hAnsi="Arial"/>
          <w:sz w:val="32"/>
          <w:szCs w:val="32"/>
        </w:rPr>
      </w:pPr>
      <w:r>
        <w:rPr>
          <w:rFonts w:hint="eastAsia" w:ascii="Arial" w:hAnsi="Arial"/>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w:t>
      </w:r>
      <w:r>
        <w:rPr>
          <w:rFonts w:hint="eastAsia" w:ascii="Arial" w:hAnsi="Arial"/>
          <w:sz w:val="32"/>
          <w:szCs w:val="32"/>
          <w:lang w:val="en-US"/>
        </w:rPr>
        <w:t>头孢氨苄</w:t>
      </w:r>
      <w:r>
        <w:rPr>
          <w:rFonts w:hint="eastAsia" w:ascii="Arial" w:hAnsi="Arial"/>
          <w:sz w:val="32"/>
          <w:szCs w:val="32"/>
        </w:rPr>
        <w:t>产品价格的，我方承诺在上述情形终止后，及时纠正价格。</w:t>
      </w:r>
    </w:p>
    <w:p>
      <w:pPr>
        <w:keepNext w:val="0"/>
        <w:keepLines w:val="0"/>
        <w:pageBreakBefore w:val="0"/>
        <w:widowControl w:val="0"/>
        <w:kinsoku/>
        <w:wordWrap/>
        <w:overflowPunct/>
        <w:topLinePunct w:val="0"/>
        <w:autoSpaceDE/>
        <w:autoSpaceDN/>
        <w:bidi w:val="0"/>
        <w:snapToGrid/>
        <w:spacing w:line="600" w:lineRule="exact"/>
        <w:ind w:firstLine="600"/>
        <w:jc w:val="both"/>
        <w:textAlignment w:val="auto"/>
        <w:rPr>
          <w:rFonts w:ascii="Arial" w:hAnsi="Arial"/>
          <w:sz w:val="32"/>
          <w:szCs w:val="32"/>
        </w:rPr>
      </w:pPr>
      <w:r>
        <w:rPr>
          <w:rFonts w:hint="eastAsia" w:ascii="Arial" w:hAnsi="Arial"/>
          <w:sz w:val="32"/>
          <w:szCs w:val="32"/>
        </w:rPr>
        <w:t>（三）我方承诺，及时、全面、完整、规范申报失信信息，不漏报，不瞒报，不推诿。</w:t>
      </w:r>
    </w:p>
    <w:p>
      <w:pPr>
        <w:keepNext w:val="0"/>
        <w:keepLines w:val="0"/>
        <w:pageBreakBefore w:val="0"/>
        <w:widowControl w:val="0"/>
        <w:kinsoku/>
        <w:wordWrap/>
        <w:overflowPunct/>
        <w:topLinePunct w:val="0"/>
        <w:bidi w:val="0"/>
        <w:snapToGrid/>
        <w:spacing w:line="600" w:lineRule="exact"/>
        <w:ind w:firstLine="600"/>
        <w:jc w:val="both"/>
        <w:textAlignment w:val="auto"/>
        <w:rPr>
          <w:rFonts w:ascii="华文中宋" w:hAnsi="华文中宋" w:eastAsia="华文中宋" w:cs="华文中宋"/>
          <w:sz w:val="32"/>
          <w:szCs w:val="32"/>
        </w:rPr>
      </w:pPr>
      <w:r>
        <w:rPr>
          <w:rFonts w:hint="eastAsia" w:ascii="黑体" w:hAnsi="黑体" w:eastAsia="黑体" w:cs="华文中宋"/>
          <w:sz w:val="32"/>
          <w:szCs w:val="32"/>
        </w:rPr>
        <w:t>三、违约担责</w:t>
      </w:r>
      <w:r>
        <w:rPr>
          <w:rFonts w:hint="eastAsia" w:ascii="黑体" w:hAnsi="黑体" w:eastAsia="黑体" w:cs="华文中宋"/>
          <w:sz w:val="32"/>
          <w:szCs w:val="32"/>
          <w:lang w:eastAsia="zh-CN"/>
        </w:rPr>
        <w:t>、</w:t>
      </w:r>
      <w:r>
        <w:rPr>
          <w:rFonts w:hint="eastAsia" w:ascii="黑体" w:hAnsi="黑体" w:eastAsia="黑体" w:cs="华文中宋"/>
          <w:sz w:val="32"/>
          <w:szCs w:val="32"/>
        </w:rPr>
        <w:t>接受处置</w:t>
      </w:r>
    </w:p>
    <w:p>
      <w:pPr>
        <w:keepNext w:val="0"/>
        <w:keepLines w:val="0"/>
        <w:pageBreakBefore w:val="0"/>
        <w:widowControl w:val="0"/>
        <w:kinsoku/>
        <w:wordWrap/>
        <w:overflowPunct/>
        <w:topLinePunct w:val="0"/>
        <w:autoSpaceDE/>
        <w:autoSpaceDN/>
        <w:bidi w:val="0"/>
        <w:snapToGrid/>
        <w:spacing w:line="600" w:lineRule="exact"/>
        <w:ind w:firstLine="600"/>
        <w:jc w:val="both"/>
        <w:textAlignment w:val="auto"/>
        <w:rPr>
          <w:rFonts w:ascii="Arial" w:hAnsi="Arial"/>
          <w:sz w:val="32"/>
          <w:szCs w:val="32"/>
        </w:rPr>
      </w:pPr>
      <w:r>
        <w:rPr>
          <w:rFonts w:hint="eastAsia" w:ascii="Arial" w:hAnsi="Arial"/>
          <w:sz w:val="32"/>
          <w:szCs w:val="32"/>
        </w:rPr>
        <w:t>（一）我方承诺，如我方</w:t>
      </w:r>
      <w:r>
        <w:rPr>
          <w:rFonts w:hint="eastAsia" w:ascii="Arial" w:hAnsi="Arial"/>
          <w:sz w:val="32"/>
          <w:szCs w:val="32"/>
          <w:lang w:val="en-US"/>
        </w:rPr>
        <w:t>头孢氨苄</w:t>
      </w:r>
      <w:r>
        <w:rPr>
          <w:rFonts w:hint="eastAsia" w:ascii="Arial" w:hAnsi="Arial"/>
          <w:sz w:val="32"/>
          <w:szCs w:val="32"/>
        </w:rPr>
        <w:t>产品购销中存在违背已承诺事项的，我方愿意接受集中采购机构作出的信用评级结果以及结合信用等级实施的处置措施。</w:t>
      </w:r>
    </w:p>
    <w:p>
      <w:pPr>
        <w:keepNext w:val="0"/>
        <w:keepLines w:val="0"/>
        <w:pageBreakBefore w:val="0"/>
        <w:widowControl w:val="0"/>
        <w:kinsoku/>
        <w:wordWrap/>
        <w:overflowPunct/>
        <w:topLinePunct w:val="0"/>
        <w:autoSpaceDE/>
        <w:autoSpaceDN/>
        <w:bidi w:val="0"/>
        <w:snapToGrid/>
        <w:spacing w:line="600" w:lineRule="exact"/>
        <w:ind w:firstLine="600"/>
        <w:jc w:val="both"/>
        <w:textAlignment w:val="auto"/>
        <w:rPr>
          <w:rFonts w:ascii="Arial" w:hAnsi="Arial"/>
          <w:sz w:val="32"/>
          <w:szCs w:val="32"/>
        </w:rPr>
      </w:pPr>
      <w:r>
        <w:rPr>
          <w:rFonts w:hint="eastAsia" w:ascii="Arial" w:hAnsi="Arial"/>
          <w:sz w:val="32"/>
          <w:szCs w:val="32"/>
        </w:rPr>
        <w:t>（二）我方承诺，严格管理员工（含雇佣关系，以及劳务派遣、购买服务、委托代理等关系），在法律法规允许的范围内从事经营活动。如果我方员工在我方</w:t>
      </w:r>
      <w:r>
        <w:rPr>
          <w:rFonts w:hint="eastAsia" w:ascii="Arial" w:hAnsi="Arial"/>
          <w:sz w:val="32"/>
          <w:szCs w:val="32"/>
          <w:lang w:val="en-US"/>
        </w:rPr>
        <w:t>头孢氨苄</w:t>
      </w:r>
      <w:r>
        <w:rPr>
          <w:rFonts w:hint="eastAsia" w:ascii="Arial" w:hAnsi="Arial"/>
          <w:sz w:val="32"/>
          <w:szCs w:val="32"/>
        </w:rPr>
        <w:t>产品购销中因给予回扣或其他不正当利益的行为，受到司法机关、行政执法机关惩处，我方承诺承担失信违约责任，接受集中采购机构作出的信用评级结果以及结合信用等级实施的处置措施。</w:t>
      </w:r>
    </w:p>
    <w:p>
      <w:pPr>
        <w:keepNext w:val="0"/>
        <w:keepLines w:val="0"/>
        <w:pageBreakBefore w:val="0"/>
        <w:widowControl w:val="0"/>
        <w:kinsoku/>
        <w:wordWrap/>
        <w:overflowPunct/>
        <w:topLinePunct w:val="0"/>
        <w:autoSpaceDE/>
        <w:autoSpaceDN/>
        <w:bidi w:val="0"/>
        <w:snapToGrid/>
        <w:spacing w:line="600" w:lineRule="exact"/>
        <w:ind w:firstLine="600"/>
        <w:jc w:val="both"/>
        <w:textAlignment w:val="auto"/>
        <w:rPr>
          <w:rFonts w:ascii="Arial" w:hAnsi="Arial"/>
          <w:sz w:val="32"/>
          <w:szCs w:val="32"/>
        </w:rPr>
      </w:pPr>
      <w:r>
        <w:rPr>
          <w:rFonts w:hint="eastAsia" w:ascii="Arial" w:hAnsi="Arial"/>
          <w:sz w:val="32"/>
          <w:szCs w:val="32"/>
        </w:rPr>
        <w:t>（三）我方承诺，严格约束委托代理人（具有委托代理关系的法人和自然人）在法律允许的范围内从事经营活动。如果受我方委托代理人，因涉及我方</w:t>
      </w:r>
      <w:r>
        <w:rPr>
          <w:rFonts w:hint="eastAsia" w:ascii="Arial" w:hAnsi="Arial"/>
          <w:sz w:val="32"/>
          <w:szCs w:val="32"/>
          <w:lang w:val="en-US"/>
        </w:rPr>
        <w:t>头孢氨苄</w:t>
      </w:r>
      <w:r>
        <w:rPr>
          <w:rFonts w:hint="eastAsia" w:ascii="Arial" w:hAnsi="Arial"/>
          <w:sz w:val="32"/>
          <w:szCs w:val="32"/>
        </w:rPr>
        <w:t>产品的回扣等医药商业贿赂行为，受到司法机关、行政执法机关惩处，我方承诺承担失信违约责任，接受集中采购机构作出的信用评级结果以及结合信用等级实施的处置措施。</w:t>
      </w:r>
    </w:p>
    <w:p>
      <w:pPr>
        <w:keepNext w:val="0"/>
        <w:keepLines w:val="0"/>
        <w:pageBreakBefore w:val="0"/>
        <w:widowControl w:val="0"/>
        <w:kinsoku/>
        <w:wordWrap/>
        <w:overflowPunct/>
        <w:topLinePunct w:val="0"/>
        <w:bidi w:val="0"/>
        <w:snapToGrid/>
        <w:spacing w:line="600" w:lineRule="exact"/>
        <w:ind w:firstLine="600"/>
        <w:jc w:val="both"/>
        <w:textAlignment w:val="auto"/>
        <w:rPr>
          <w:rFonts w:ascii="Arial" w:hAnsi="Arial"/>
          <w:sz w:val="32"/>
          <w:szCs w:val="32"/>
        </w:rPr>
      </w:pPr>
      <w:r>
        <w:rPr>
          <w:rFonts w:hint="eastAsia" w:ascii="Arial" w:hAnsi="Arial"/>
          <w:sz w:val="32"/>
          <w:szCs w:val="32"/>
        </w:rPr>
        <w:t>（四）我方承诺，主动维护良好信用，必要时采取切实措施修复信用。</w:t>
      </w:r>
    </w:p>
    <w:p>
      <w:pPr>
        <w:keepNext w:val="0"/>
        <w:keepLines w:val="0"/>
        <w:pageBreakBefore w:val="0"/>
        <w:widowControl w:val="0"/>
        <w:kinsoku/>
        <w:wordWrap/>
        <w:overflowPunct/>
        <w:topLinePunct w:val="0"/>
        <w:bidi w:val="0"/>
        <w:snapToGrid/>
        <w:spacing w:line="600" w:lineRule="exact"/>
        <w:ind w:firstLine="600"/>
        <w:jc w:val="both"/>
        <w:textAlignment w:val="auto"/>
        <w:rPr>
          <w:rFonts w:ascii="Arial" w:hAnsi="Arial"/>
          <w:sz w:val="32"/>
          <w:szCs w:val="32"/>
        </w:rPr>
      </w:pPr>
      <w:r>
        <w:rPr>
          <w:rFonts w:hint="eastAsia" w:ascii="Arial" w:hAnsi="Arial"/>
          <w:sz w:val="32"/>
          <w:szCs w:val="32"/>
        </w:rPr>
        <w:t>（五）我方承诺，产品不侵犯其他第三方合法权利，在申报、采购周期内， 如相关司法文书确定我方或我方所申报之产品侵犯第三方权利，或者司法文书对我方产品采取包括不限于禁止销售等保全措施的，我方同意在获悉上述情形后1日内主动暂停相关产品在贵中心平台挂网交易，或由贵中心直接暂停挂网交易。相应产生的法律责任（包括不限于侵犯第三方权利的赔偿、无法履行采购协议的责任等）和损失均由我方自行承担。</w:t>
      </w:r>
    </w:p>
    <w:p>
      <w:pPr>
        <w:keepNext w:val="0"/>
        <w:keepLines w:val="0"/>
        <w:pageBreakBefore w:val="0"/>
        <w:widowControl w:val="0"/>
        <w:kinsoku/>
        <w:wordWrap/>
        <w:overflowPunct/>
        <w:topLinePunct w:val="0"/>
        <w:bidi w:val="0"/>
        <w:snapToGrid/>
        <w:spacing w:line="600" w:lineRule="exact"/>
        <w:ind w:firstLine="600"/>
        <w:jc w:val="both"/>
        <w:textAlignment w:val="auto"/>
        <w:rPr>
          <w:rFonts w:ascii="Arial" w:hAnsi="Arial"/>
          <w:sz w:val="32"/>
          <w:szCs w:val="32"/>
        </w:rPr>
      </w:pPr>
      <w:r>
        <w:rPr>
          <w:rFonts w:hint="eastAsia" w:ascii="Arial" w:hAnsi="Arial"/>
          <w:sz w:val="32"/>
          <w:szCs w:val="32"/>
        </w:rPr>
        <w:t>（六）我方承诺，在申报、采购周期内均持有产品的完整代理资格，如代理资格终止，同意贵中心取消我方作为本次采购申报企业或中选企业的资格并</w:t>
      </w:r>
      <w:r>
        <w:rPr>
          <w:rFonts w:hint="eastAsia"/>
          <w:sz w:val="32"/>
          <w:szCs w:val="32"/>
        </w:rPr>
        <w:t>取消以我方名义在平台挂网交易中选产品之资格</w:t>
      </w:r>
      <w:r>
        <w:rPr>
          <w:rFonts w:hint="eastAsia" w:ascii="Arial" w:hAnsi="Arial"/>
          <w:sz w:val="32"/>
          <w:szCs w:val="32"/>
        </w:rPr>
        <w:t>。相应产生的法律责任（包括不限于无法履行采购协议的责任等）和损失均由我方自行承担。</w:t>
      </w:r>
    </w:p>
    <w:p>
      <w:pPr>
        <w:keepNext w:val="0"/>
        <w:keepLines w:val="0"/>
        <w:pageBreakBefore w:val="0"/>
        <w:widowControl w:val="0"/>
        <w:kinsoku/>
        <w:wordWrap/>
        <w:overflowPunct/>
        <w:topLinePunct w:val="0"/>
        <w:autoSpaceDE/>
        <w:autoSpaceDN/>
        <w:bidi w:val="0"/>
        <w:snapToGrid/>
        <w:spacing w:line="600" w:lineRule="exact"/>
        <w:ind w:firstLine="600"/>
        <w:textAlignment w:val="auto"/>
        <w:rPr>
          <w:rFonts w:ascii="Arial" w:hAnsi="Arial"/>
          <w:sz w:val="32"/>
          <w:szCs w:val="32"/>
        </w:rPr>
      </w:pPr>
      <w:r>
        <w:rPr>
          <w:rFonts w:hint="eastAsia" w:ascii="Arial" w:hAnsi="Arial"/>
          <w:sz w:val="32"/>
          <w:szCs w:val="32"/>
        </w:rPr>
        <w:t xml:space="preserve">                   </w:t>
      </w:r>
    </w:p>
    <w:p>
      <w:pPr>
        <w:pStyle w:val="2"/>
        <w:keepNext w:val="0"/>
        <w:keepLines w:val="0"/>
        <w:pageBreakBefore w:val="0"/>
        <w:widowControl w:val="0"/>
        <w:kinsoku/>
        <w:wordWrap/>
        <w:overflowPunct/>
        <w:topLinePunct w:val="0"/>
        <w:bidi w:val="0"/>
        <w:snapToGrid/>
        <w:spacing w:line="600" w:lineRule="exact"/>
        <w:textAlignment w:val="auto"/>
        <w:rPr>
          <w:rFonts w:hint="default" w:ascii="Arial" w:hAnsi="Arial"/>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hint="default" w:ascii="Arial" w:hAnsi="Arial"/>
          <w:sz w:val="32"/>
          <w:szCs w:val="32"/>
        </w:rPr>
      </w:pPr>
    </w:p>
    <w:p>
      <w:pPr>
        <w:keepNext w:val="0"/>
        <w:keepLines w:val="0"/>
        <w:pageBreakBefore w:val="0"/>
        <w:widowControl w:val="0"/>
        <w:kinsoku/>
        <w:wordWrap/>
        <w:overflowPunct/>
        <w:topLinePunct w:val="0"/>
        <w:autoSpaceDE/>
        <w:autoSpaceDN/>
        <w:bidi w:val="0"/>
        <w:snapToGrid/>
        <w:spacing w:line="600" w:lineRule="exact"/>
        <w:ind w:firstLine="4480" w:firstLineChars="1400"/>
        <w:textAlignment w:val="auto"/>
        <w:rPr>
          <w:rFonts w:ascii="Arial" w:hAnsi="Arial"/>
          <w:sz w:val="32"/>
          <w:szCs w:val="32"/>
        </w:rPr>
      </w:pPr>
      <w:r>
        <w:rPr>
          <w:rFonts w:hint="eastAsia" w:ascii="Arial" w:hAnsi="Arial"/>
          <w:sz w:val="32"/>
          <w:szCs w:val="32"/>
        </w:rPr>
        <w:t>承诺企业（盖章）：</w:t>
      </w:r>
    </w:p>
    <w:p>
      <w:pPr>
        <w:keepNext w:val="0"/>
        <w:keepLines w:val="0"/>
        <w:pageBreakBefore w:val="0"/>
        <w:widowControl w:val="0"/>
        <w:kinsoku/>
        <w:wordWrap/>
        <w:overflowPunct/>
        <w:topLinePunct w:val="0"/>
        <w:autoSpaceDE/>
        <w:autoSpaceDN/>
        <w:bidi w:val="0"/>
        <w:snapToGrid/>
        <w:spacing w:line="600" w:lineRule="exact"/>
        <w:ind w:firstLine="600"/>
        <w:textAlignment w:val="auto"/>
        <w:rPr>
          <w:rFonts w:ascii="Arial" w:hAnsi="Arial"/>
          <w:sz w:val="32"/>
          <w:szCs w:val="32"/>
        </w:rPr>
      </w:pPr>
      <w:r>
        <w:rPr>
          <w:rFonts w:hint="eastAsia" w:ascii="Arial" w:hAnsi="Arial"/>
          <w:sz w:val="32"/>
          <w:szCs w:val="32"/>
        </w:rPr>
        <w:t xml:space="preserve">　                      </w:t>
      </w:r>
      <w:r>
        <w:rPr>
          <w:rFonts w:hint="eastAsia" w:ascii="Arial" w:hAnsi="Arial"/>
          <w:sz w:val="32"/>
          <w:szCs w:val="32"/>
          <w:lang w:val="en-US"/>
        </w:rPr>
        <w:t xml:space="preserve">                  </w:t>
      </w:r>
      <w:r>
        <w:rPr>
          <w:rFonts w:hint="eastAsia" w:ascii="Arial" w:hAnsi="Arial"/>
          <w:sz w:val="32"/>
          <w:szCs w:val="32"/>
        </w:rPr>
        <w:t>法定代表人（签字）：</w:t>
      </w:r>
    </w:p>
    <w:p>
      <w:pPr>
        <w:keepNext w:val="0"/>
        <w:keepLines w:val="0"/>
        <w:pageBreakBefore w:val="0"/>
        <w:widowControl w:val="0"/>
        <w:kinsoku/>
        <w:wordWrap/>
        <w:overflowPunct/>
        <w:topLinePunct w:val="0"/>
        <w:autoSpaceDE/>
        <w:autoSpaceDN/>
        <w:bidi w:val="0"/>
        <w:snapToGrid/>
        <w:spacing w:line="600" w:lineRule="exact"/>
        <w:ind w:firstLine="4480" w:firstLineChars="1400"/>
        <w:textAlignment w:val="auto"/>
        <w:rPr>
          <w:rFonts w:hint="eastAsia" w:ascii="Arial" w:hAnsi="Arial"/>
          <w:sz w:val="32"/>
          <w:szCs w:val="32"/>
        </w:rPr>
      </w:pPr>
      <w:r>
        <w:rPr>
          <w:rFonts w:hint="eastAsia" w:ascii="Arial" w:hAnsi="Arial"/>
          <w:sz w:val="32"/>
          <w:szCs w:val="32"/>
        </w:rPr>
        <w:t>202  年  月  日</w:t>
      </w:r>
    </w:p>
    <w:p>
      <w:pPr>
        <w:rPr>
          <w:rFonts w:hint="eastAsia" w:ascii="Arial" w:hAnsi="Arial"/>
          <w:sz w:val="32"/>
          <w:szCs w:val="32"/>
        </w:rPr>
      </w:pPr>
      <w:r>
        <w:rPr>
          <w:rFonts w:hint="eastAsia" w:ascii="Arial" w:hAnsi="Arial"/>
          <w:sz w:val="32"/>
          <w:szCs w:val="32"/>
        </w:rPr>
        <w:br w:type="page"/>
      </w:r>
    </w:p>
    <w:bookmarkEnd w:id="42"/>
    <w:bookmarkEnd w:id="43"/>
    <w:p>
      <w:pPr>
        <w:pStyle w:val="4"/>
      </w:pPr>
      <w:r>
        <w:rPr>
          <w:rFonts w:hint="eastAsia"/>
        </w:rPr>
        <w:t>附件2</w:t>
      </w:r>
      <w:r>
        <w:rPr>
          <w:rFonts w:hint="eastAsia" w:ascii="华文中宋" w:hAnsi="华文中宋" w:eastAsia="华文中宋" w:cs="华文中宋"/>
          <w:sz w:val="28"/>
          <w:szCs w:val="28"/>
        </w:rPr>
        <w:t xml:space="preserve">    </w:t>
      </w:r>
      <w:r>
        <w:rPr>
          <w:rFonts w:hint="eastAsia"/>
        </w:rPr>
        <w:t xml:space="preserve">            </w:t>
      </w:r>
    </w:p>
    <w:p>
      <w:pPr>
        <w:ind w:firstLine="720"/>
        <w:rPr>
          <w:rFonts w:ascii="黑体" w:hAnsi="黑体" w:cs="黑体"/>
          <w:sz w:val="36"/>
          <w:szCs w:val="36"/>
        </w:rPr>
      </w:pPr>
    </w:p>
    <w:p>
      <w:pPr>
        <w:pStyle w:val="4"/>
        <w:jc w:val="center"/>
      </w:pPr>
      <w:bookmarkStart w:id="45" w:name="_Toc57277305"/>
      <w:bookmarkStart w:id="46" w:name="_Toc7688"/>
      <w:r>
        <w:rPr>
          <w:rFonts w:hint="eastAsia"/>
        </w:rPr>
        <w:t>法定代表人授权书</w:t>
      </w:r>
      <w:bookmarkEnd w:id="45"/>
      <w:bookmarkEnd w:id="46"/>
    </w:p>
    <w:p>
      <w:pPr>
        <w:ind w:firstLine="600"/>
      </w:pPr>
    </w:p>
    <w:p>
      <w:pPr>
        <w:spacing w:line="600" w:lineRule="exact"/>
        <w:ind w:firstLine="600"/>
        <w:rPr>
          <w:sz w:val="32"/>
          <w:szCs w:val="32"/>
        </w:rPr>
      </w:pPr>
      <w:r>
        <w:rPr>
          <w:rFonts w:hint="eastAsia"/>
          <w:sz w:val="32"/>
          <w:szCs w:val="32"/>
        </w:rPr>
        <w:t>本授权书声明：注册于</w:t>
      </w:r>
      <w:r>
        <w:rPr>
          <w:rFonts w:hint="eastAsia" w:ascii="仿宋_GB2312" w:eastAsia="仿宋_GB2312"/>
          <w:sz w:val="32"/>
          <w:szCs w:val="32"/>
          <w:u w:val="single"/>
        </w:rPr>
        <w:t xml:space="preserve">                        </w:t>
      </w:r>
      <w:r>
        <w:rPr>
          <w:rFonts w:hint="eastAsia"/>
          <w:sz w:val="32"/>
          <w:szCs w:val="32"/>
        </w:rPr>
        <w:t>（地址）的</w:t>
      </w:r>
    </w:p>
    <w:p>
      <w:pPr>
        <w:spacing w:line="600" w:lineRule="exact"/>
        <w:rPr>
          <w:sz w:val="32"/>
          <w:szCs w:val="32"/>
        </w:rPr>
      </w:pPr>
      <w:r>
        <w:rPr>
          <w:rFonts w:hint="eastAsia" w:ascii="仿宋_GB2312" w:eastAsia="仿宋_GB2312"/>
          <w:sz w:val="32"/>
          <w:szCs w:val="32"/>
          <w:u w:val="single"/>
        </w:rPr>
        <w:t xml:space="preserve">                               </w:t>
      </w:r>
      <w:r>
        <w:rPr>
          <w:rFonts w:hint="eastAsia"/>
          <w:sz w:val="32"/>
          <w:szCs w:val="32"/>
        </w:rPr>
        <w:t>（公司）的</w:t>
      </w:r>
      <w:r>
        <w:rPr>
          <w:rFonts w:hint="eastAsia" w:ascii="仿宋_GB2312" w:eastAsia="仿宋_GB2312"/>
          <w:sz w:val="32"/>
          <w:szCs w:val="32"/>
          <w:u w:val="single"/>
        </w:rPr>
        <w:t xml:space="preserve">            </w:t>
      </w:r>
      <w:r>
        <w:rPr>
          <w:rFonts w:hint="eastAsia"/>
          <w:sz w:val="32"/>
          <w:szCs w:val="32"/>
        </w:rPr>
        <w:t>（法定代表人姓名、职务）授权</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sz w:val="32"/>
          <w:szCs w:val="32"/>
        </w:rPr>
        <w:t>被授权人的姓名、职务）为公司的合法代理人，就广东省第三方电子交易平台</w:t>
      </w:r>
      <w:r>
        <w:rPr>
          <w:rFonts w:hint="eastAsia"/>
          <w:sz w:val="32"/>
          <w:szCs w:val="32"/>
          <w:lang w:val="en-US"/>
        </w:rPr>
        <w:t>药品</w:t>
      </w:r>
      <w:r>
        <w:rPr>
          <w:rFonts w:hint="eastAsia"/>
          <w:sz w:val="32"/>
          <w:szCs w:val="32"/>
        </w:rPr>
        <w:t>集团带量采购（</w:t>
      </w:r>
      <w:r>
        <w:rPr>
          <w:rFonts w:hint="eastAsia" w:ascii="Arial" w:hAnsi="Arial"/>
          <w:sz w:val="32"/>
          <w:szCs w:val="32"/>
          <w:lang w:val="en-US"/>
        </w:rPr>
        <w:t>头孢氨苄</w:t>
      </w:r>
      <w:r>
        <w:rPr>
          <w:rFonts w:hint="eastAsia"/>
          <w:sz w:val="32"/>
          <w:szCs w:val="32"/>
        </w:rPr>
        <w:t>）项目，以本公司名义处理递交申报材料、供应地区确认等一切与之相关的事务。本公司与被授权人共同承诺本次申报的真实性、合法性、有效性。</w:t>
      </w:r>
    </w:p>
    <w:p>
      <w:pPr>
        <w:spacing w:line="600" w:lineRule="exact"/>
        <w:ind w:firstLine="600"/>
        <w:rPr>
          <w:sz w:val="32"/>
          <w:szCs w:val="32"/>
        </w:rPr>
      </w:pPr>
      <w:r>
        <w:rPr>
          <w:rFonts w:hint="eastAsia"/>
          <w:sz w:val="32"/>
          <w:szCs w:val="32"/>
        </w:rPr>
        <w:t>本授权书于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sz w:val="32"/>
          <w:szCs w:val="32"/>
        </w:rPr>
        <w:t>日签字生效，有效期至本次集团带量采购工作截止日止。</w:t>
      </w:r>
    </w:p>
    <w:p>
      <w:pPr>
        <w:spacing w:line="600" w:lineRule="exact"/>
        <w:ind w:firstLine="600"/>
        <w:rPr>
          <w:sz w:val="32"/>
          <w:szCs w:val="32"/>
        </w:rPr>
      </w:pPr>
      <w:r>
        <w:rPr>
          <w:rFonts w:hint="eastAsia"/>
          <w:sz w:val="32"/>
          <w:szCs w:val="32"/>
        </w:rPr>
        <w:t>特此声明。</w:t>
      </w:r>
    </w:p>
    <w:p>
      <w:pPr>
        <w:spacing w:line="600" w:lineRule="exact"/>
        <w:ind w:firstLine="600"/>
        <w:rPr>
          <w:rFonts w:ascii="仿宋_GB2312" w:eastAsia="仿宋_GB2312"/>
          <w:sz w:val="32"/>
          <w:szCs w:val="32"/>
        </w:rPr>
      </w:pPr>
    </w:p>
    <w:p>
      <w:pPr>
        <w:spacing w:line="600" w:lineRule="exact"/>
        <w:rPr>
          <w:rFonts w:ascii="仿宋_GB2312" w:eastAsia="仿宋_GB2312"/>
          <w:sz w:val="32"/>
          <w:szCs w:val="32"/>
          <w:u w:val="single"/>
        </w:rPr>
      </w:pPr>
      <w:r>
        <w:rPr>
          <w:rFonts w:hint="eastAsia"/>
          <w:sz w:val="32"/>
          <w:szCs w:val="32"/>
        </w:rPr>
        <w:t>授权企业法定代表人签字盖章：</w:t>
      </w:r>
      <w:r>
        <w:rPr>
          <w:rFonts w:hint="eastAsia" w:ascii="仿宋_GB2312" w:eastAsia="仿宋_GB2312"/>
          <w:sz w:val="32"/>
          <w:szCs w:val="32"/>
          <w:u w:val="single"/>
        </w:rPr>
        <w:t xml:space="preserve">                              </w:t>
      </w:r>
    </w:p>
    <w:p>
      <w:pPr>
        <w:spacing w:line="600" w:lineRule="exact"/>
        <w:rPr>
          <w:rFonts w:ascii="仿宋_GB2312" w:eastAsia="仿宋_GB2312"/>
          <w:sz w:val="32"/>
          <w:szCs w:val="32"/>
          <w:u w:val="single"/>
        </w:rPr>
      </w:pPr>
      <w:r>
        <w:rPr>
          <w:rFonts w:hint="eastAsia"/>
          <w:sz w:val="32"/>
          <w:szCs w:val="32"/>
        </w:rPr>
        <w:t>职务（法定代表人）：</w:t>
      </w:r>
      <w:r>
        <w:rPr>
          <w:rFonts w:hint="eastAsia" w:ascii="仿宋_GB2312" w:eastAsia="仿宋_GB2312"/>
          <w:sz w:val="32"/>
          <w:szCs w:val="32"/>
          <w:u w:val="single"/>
        </w:rPr>
        <w:t xml:space="preserve">                                        </w:t>
      </w:r>
    </w:p>
    <w:p>
      <w:pPr>
        <w:spacing w:line="600" w:lineRule="exact"/>
        <w:rPr>
          <w:rFonts w:ascii="仿宋_GB2312" w:eastAsia="仿宋_GB2312"/>
          <w:sz w:val="32"/>
          <w:szCs w:val="32"/>
          <w:u w:val="single"/>
        </w:rPr>
      </w:pPr>
      <w:r>
        <w:rPr>
          <w:rFonts w:hint="eastAsia"/>
          <w:sz w:val="32"/>
          <w:szCs w:val="32"/>
        </w:rPr>
        <w:t>被授权人签字盖章：</w:t>
      </w:r>
      <w:r>
        <w:rPr>
          <w:rFonts w:hint="eastAsia" w:ascii="仿宋_GB2312" w:eastAsia="仿宋_GB2312"/>
          <w:sz w:val="32"/>
          <w:szCs w:val="32"/>
          <w:u w:val="single"/>
        </w:rPr>
        <w:t xml:space="preserve">                                        </w:t>
      </w:r>
    </w:p>
    <w:p>
      <w:pPr>
        <w:spacing w:line="600" w:lineRule="exact"/>
        <w:rPr>
          <w:rFonts w:ascii="仿宋_GB2312" w:eastAsia="仿宋_GB2312"/>
          <w:sz w:val="32"/>
          <w:szCs w:val="32"/>
          <w:u w:val="single"/>
        </w:rPr>
      </w:pPr>
      <w:r>
        <w:rPr>
          <w:rFonts w:hint="eastAsia"/>
          <w:sz w:val="32"/>
          <w:szCs w:val="32"/>
        </w:rPr>
        <w:t>联系方式（手机）：</w:t>
      </w:r>
      <w:r>
        <w:rPr>
          <w:rFonts w:hint="eastAsia" w:ascii="仿宋_GB2312" w:eastAsia="仿宋_GB2312"/>
          <w:sz w:val="32"/>
          <w:szCs w:val="32"/>
          <w:u w:val="single"/>
        </w:rPr>
        <w:t xml:space="preserve">                                        </w:t>
      </w:r>
    </w:p>
    <w:p>
      <w:pPr>
        <w:spacing w:line="600" w:lineRule="exact"/>
        <w:rPr>
          <w:rFonts w:ascii="仿宋_GB2312" w:eastAsia="仿宋_GB2312"/>
          <w:sz w:val="32"/>
          <w:szCs w:val="32"/>
          <w:u w:val="single"/>
        </w:rPr>
      </w:pPr>
      <w:r>
        <w:rPr>
          <w:rFonts w:hint="eastAsia"/>
          <w:sz w:val="32"/>
          <w:szCs w:val="32"/>
        </w:rPr>
        <w:t>单位名称：</w:t>
      </w:r>
      <w:r>
        <w:rPr>
          <w:rFonts w:hint="eastAsia" w:ascii="仿宋_GB2312" w:eastAsia="仿宋_GB2312"/>
          <w:sz w:val="32"/>
          <w:szCs w:val="32"/>
          <w:u w:val="single"/>
        </w:rPr>
        <w:t xml:space="preserve">                                                </w:t>
      </w:r>
    </w:p>
    <w:p>
      <w:pPr>
        <w:spacing w:line="600" w:lineRule="exact"/>
        <w:rPr>
          <w:rFonts w:ascii="仿宋_GB2312" w:eastAsia="仿宋_GB2312"/>
          <w:sz w:val="32"/>
          <w:szCs w:val="32"/>
          <w:u w:val="single"/>
        </w:rPr>
      </w:pPr>
      <w:r>
        <w:rPr>
          <w:rFonts w:hint="eastAsia"/>
          <w:sz w:val="32"/>
          <w:szCs w:val="32"/>
        </w:rPr>
        <w:t>地址：</w:t>
      </w:r>
      <w:r>
        <w:rPr>
          <w:rFonts w:hint="eastAsia" w:ascii="仿宋_GB2312" w:eastAsia="仿宋_GB2312"/>
          <w:sz w:val="32"/>
          <w:szCs w:val="32"/>
          <w:u w:val="single"/>
        </w:rPr>
        <w:t xml:space="preserve">                                                    </w:t>
      </w:r>
    </w:p>
    <w:p>
      <w:pPr>
        <w:spacing w:line="600" w:lineRule="exact"/>
        <w:rPr>
          <w:sz w:val="32"/>
          <w:szCs w:val="32"/>
        </w:rPr>
      </w:pPr>
      <w:r>
        <w:rPr>
          <w:rFonts w:hint="eastAsia"/>
          <w:sz w:val="32"/>
          <w:szCs w:val="32"/>
        </w:rPr>
        <w:t>出具授权书的申报企业盖章：</w:t>
      </w:r>
    </w:p>
    <w:p>
      <w:pPr>
        <w:spacing w:line="600" w:lineRule="exact"/>
        <w:rPr>
          <w:rFonts w:ascii="仿宋_GB2312" w:eastAsia="仿宋_GB2312"/>
          <w:sz w:val="32"/>
          <w:szCs w:val="32"/>
        </w:rPr>
      </w:pPr>
      <w:r>
        <w:rPr>
          <w:rFonts w:hint="eastAsia"/>
          <w:sz w:val="32"/>
          <w:szCs w:val="32"/>
        </w:rPr>
        <w:t>签署日期：</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p>
      <w:pPr>
        <w:spacing w:line="480" w:lineRule="auto"/>
        <w:jc w:val="center"/>
        <w:rPr>
          <w:b/>
          <w:bCs/>
          <w:szCs w:val="30"/>
        </w:rPr>
      </w:pPr>
      <w:r>
        <w:rPr>
          <w:rFonts w:hint="eastAsia"/>
        </w:rPr>
        <w:br w:type="page"/>
      </w:r>
      <w:r>
        <w:rPr>
          <w:b/>
          <w:bCs/>
          <w:szCs w:val="30"/>
        </w:rPr>
        <w:t>代理人（被授权人）居民身份证复印件</w:t>
      </w:r>
    </w:p>
    <w:p>
      <w:pPr>
        <w:spacing w:line="360" w:lineRule="auto"/>
        <w:jc w:val="center"/>
        <w:rPr>
          <w:b/>
          <w:bCs/>
          <w:szCs w:val="30"/>
        </w:rPr>
      </w:pPr>
      <w:bookmarkStart w:id="47" w:name="_Toc17748600"/>
      <w:bookmarkStart w:id="48" w:name="_Toc24319"/>
      <w:r>
        <w:rPr>
          <w:rFonts w:hint="eastAsia"/>
          <w:b/>
          <w:bCs/>
          <w:sz w:val="36"/>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412115</wp:posOffset>
                </wp:positionV>
                <wp:extent cx="5423535" cy="6177280"/>
                <wp:effectExtent l="4445" t="5080" r="20320" b="8890"/>
                <wp:wrapNone/>
                <wp:docPr id="6" name="Rectangle 2"/>
                <wp:cNvGraphicFramePr/>
                <a:graphic xmlns:a="http://schemas.openxmlformats.org/drawingml/2006/main">
                  <a:graphicData uri="http://schemas.microsoft.com/office/word/2010/wordprocessingShape">
                    <wps:wsp>
                      <wps:cNvSpPr>
                        <a:spLocks noChangeArrowheads="1"/>
                      </wps:cNvSpPr>
                      <wps:spPr bwMode="auto">
                        <a:xfrm>
                          <a:off x="0" y="0"/>
                          <a:ext cx="5423535" cy="6177280"/>
                        </a:xfrm>
                        <a:prstGeom prst="rect">
                          <a:avLst/>
                        </a:prstGeom>
                        <a:noFill/>
                        <a:ln w="9525">
                          <a:solidFill>
                            <a:srgbClr val="000000"/>
                          </a:solidFill>
                          <a:miter lim="800000"/>
                        </a:ln>
                      </wps:spPr>
                      <wps:txbx>
                        <w:txbxContent>
                          <w:p>
                            <w:pPr>
                              <w:ind w:firstLine="600"/>
                            </w:pPr>
                          </w:p>
                          <w:p>
                            <w:pPr>
                              <w:ind w:firstLine="600"/>
                            </w:pPr>
                          </w:p>
                          <w:p>
                            <w:pPr>
                              <w:ind w:firstLine="600"/>
                            </w:pPr>
                          </w:p>
                          <w:p>
                            <w:pPr>
                              <w:ind w:firstLine="600"/>
                            </w:pPr>
                          </w:p>
                          <w:p>
                            <w:pPr>
                              <w:ind w:firstLine="600"/>
                            </w:pPr>
                          </w:p>
                          <w:p>
                            <w:pPr>
                              <w:ind w:firstLine="600"/>
                            </w:pPr>
                          </w:p>
                          <w:p/>
                          <w:p/>
                          <w:p>
                            <w:pPr>
                              <w:jc w:val="center"/>
                              <w:rPr>
                                <w:rFonts w:eastAsia="仿宋_GB2312"/>
                                <w:b/>
                                <w:bCs/>
                              </w:rPr>
                            </w:pPr>
                            <w:r>
                              <w:rPr>
                                <w:rFonts w:hint="eastAsia" w:eastAsia="仿宋_GB2312"/>
                                <w:b/>
                                <w:bCs/>
                              </w:rPr>
                              <w:t>代理人（被授权人）</w:t>
                            </w:r>
                          </w:p>
                          <w:p>
                            <w:pPr>
                              <w:jc w:val="center"/>
                            </w:pPr>
                            <w:r>
                              <w:rPr>
                                <w:rFonts w:hint="eastAsia" w:eastAsia="仿宋_GB2312"/>
                                <w:b/>
                                <w:bCs/>
                              </w:rPr>
                              <w:t>居民身份证复印件粘贴处</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top:32.45pt;height:486.4pt;width:427.05pt;mso-position-horizontal:center;mso-position-horizontal-relative:margin;z-index:251659264;mso-width-relative:page;mso-height-relative:page;" filled="f" stroked="t" coordsize="21600,21600" o:gfxdata="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511PHWAAAACAEAAA8AAAAAAAAAAQAgAAAAIgAAAGRycy9kb3ducmV2LnhtbFBLAQIUABQA&#10;AAAIAIdO4kCPKTXYKwIAAFUEAAAOAAAAAAAAAAEAIAAAACUBAABkcnMvZTJvRG9jLnhtbFBLBQYA&#10;AAAABgAGAFkBAADCBQAAAAA=&#10;">
                <v:fill on="f" focussize="0,0"/>
                <v:stroke color="#000000" miterlimit="8" joinstyle="miter"/>
                <v:imagedata o:title=""/>
                <o:lock v:ext="edit" aspectratio="f"/>
                <v:textbox>
                  <w:txbxContent>
                    <w:p>
                      <w:pPr>
                        <w:ind w:firstLine="600"/>
                      </w:pPr>
                    </w:p>
                    <w:p>
                      <w:pPr>
                        <w:ind w:firstLine="600"/>
                      </w:pPr>
                    </w:p>
                    <w:p>
                      <w:pPr>
                        <w:ind w:firstLine="600"/>
                      </w:pPr>
                    </w:p>
                    <w:p>
                      <w:pPr>
                        <w:ind w:firstLine="600"/>
                      </w:pPr>
                    </w:p>
                    <w:p>
                      <w:pPr>
                        <w:ind w:firstLine="600"/>
                      </w:pPr>
                    </w:p>
                    <w:p>
                      <w:pPr>
                        <w:ind w:firstLine="600"/>
                      </w:pPr>
                    </w:p>
                    <w:p/>
                    <w:p/>
                    <w:p>
                      <w:pPr>
                        <w:jc w:val="center"/>
                        <w:rPr>
                          <w:rFonts w:eastAsia="仿宋_GB2312"/>
                          <w:b/>
                          <w:bCs/>
                        </w:rPr>
                      </w:pPr>
                      <w:r>
                        <w:rPr>
                          <w:rFonts w:hint="eastAsia" w:eastAsia="仿宋_GB2312"/>
                          <w:b/>
                          <w:bCs/>
                        </w:rPr>
                        <w:t>代理人（被授权人）</w:t>
                      </w:r>
                    </w:p>
                    <w:p>
                      <w:pPr>
                        <w:jc w:val="center"/>
                      </w:pPr>
                      <w:r>
                        <w:rPr>
                          <w:rFonts w:hint="eastAsia" w:eastAsia="仿宋_GB2312"/>
                          <w:b/>
                          <w:bCs/>
                        </w:rPr>
                        <w:t>居民身份证复印件粘贴处</w:t>
                      </w:r>
                    </w:p>
                  </w:txbxContent>
                </v:textbox>
              </v:rect>
            </w:pict>
          </mc:Fallback>
        </mc:AlternateContent>
      </w:r>
      <w:bookmarkEnd w:id="47"/>
      <w:bookmarkEnd w:id="48"/>
      <w:r>
        <w:rPr>
          <w:b/>
          <w:bCs/>
          <w:szCs w:val="30"/>
        </w:rPr>
        <w:t>（</w:t>
      </w:r>
      <w:r>
        <w:rPr>
          <w:rFonts w:hint="eastAsia"/>
          <w:b/>
          <w:bCs/>
          <w:szCs w:val="30"/>
        </w:rPr>
        <w:t>居民身份证复印件</w:t>
      </w:r>
      <w:r>
        <w:rPr>
          <w:b/>
          <w:bCs/>
          <w:szCs w:val="30"/>
        </w:rPr>
        <w:t>骑缝处加盖企业公章）</w:t>
      </w: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2"/>
        <w:rPr>
          <w:rFonts w:hint="default" w:ascii="仿宋" w:hAnsi="仿宋"/>
          <w:b/>
          <w:bCs/>
          <w:szCs w:val="30"/>
        </w:rPr>
      </w:pPr>
    </w:p>
    <w:p>
      <w:pPr>
        <w:pStyle w:val="7"/>
        <w:spacing w:before="10"/>
        <w:ind w:left="0"/>
        <w:rPr>
          <w:b/>
          <w:sz w:val="13"/>
        </w:rPr>
      </w:pPr>
    </w:p>
    <w:p>
      <w:pPr>
        <w:tabs>
          <w:tab w:val="left" w:pos="3670"/>
        </w:tabs>
        <w:spacing w:before="54"/>
        <w:ind w:firstLine="320" w:firstLineChars="100"/>
        <w:rPr>
          <w:rFonts w:ascii="黑体" w:eastAsia="黑体"/>
          <w:sz w:val="32"/>
        </w:rPr>
      </w:pPr>
      <w:bookmarkStart w:id="49" w:name="附件4__________“申报信息一览表”信封封面样张"/>
      <w:bookmarkEnd w:id="49"/>
      <w:bookmarkStart w:id="50" w:name="附件5_____________“申报材料”信封封面样张"/>
      <w:bookmarkEnd w:id="50"/>
      <w:bookmarkStart w:id="51" w:name="五、拟中选企业确定"/>
      <w:bookmarkEnd w:id="51"/>
      <w:bookmarkStart w:id="52" w:name="_bookmark24"/>
      <w:bookmarkEnd w:id="52"/>
      <w:bookmarkStart w:id="53" w:name="_bookmark17"/>
      <w:bookmarkEnd w:id="53"/>
      <w:bookmarkStart w:id="54" w:name="_bookmark23"/>
      <w:bookmarkEnd w:id="54"/>
      <w:bookmarkStart w:id="55" w:name="六、供应地区确认"/>
      <w:bookmarkEnd w:id="55"/>
      <w:bookmarkStart w:id="56" w:name="_bookmark16"/>
      <w:bookmarkEnd w:id="56"/>
      <w:bookmarkStart w:id="57" w:name="_bookmark25"/>
      <w:bookmarkEnd w:id="57"/>
      <w:bookmarkStart w:id="58" w:name="附件3________________申报信息一览表"/>
      <w:bookmarkEnd w:id="58"/>
    </w:p>
    <w:p>
      <w:pPr>
        <w:tabs>
          <w:tab w:val="left" w:pos="3670"/>
        </w:tabs>
        <w:spacing w:before="54"/>
        <w:ind w:firstLine="320" w:firstLineChars="100"/>
        <w:rPr>
          <w:rFonts w:ascii="黑体" w:eastAsia="黑体"/>
          <w:sz w:val="32"/>
        </w:rPr>
      </w:pPr>
    </w:p>
    <w:p>
      <w:pPr>
        <w:tabs>
          <w:tab w:val="left" w:pos="3670"/>
        </w:tabs>
        <w:spacing w:before="54"/>
        <w:ind w:firstLine="320" w:firstLineChars="100"/>
        <w:rPr>
          <w:rFonts w:ascii="黑体" w:eastAsia="黑体"/>
          <w:sz w:val="32"/>
        </w:rPr>
      </w:pPr>
    </w:p>
    <w:p>
      <w:pPr>
        <w:tabs>
          <w:tab w:val="left" w:pos="3670"/>
        </w:tabs>
        <w:spacing w:before="54"/>
        <w:ind w:firstLine="320" w:firstLineChars="100"/>
        <w:rPr>
          <w:rFonts w:ascii="黑体" w:eastAsia="黑体"/>
          <w:sz w:val="32"/>
        </w:rPr>
      </w:pPr>
    </w:p>
    <w:p>
      <w:pPr>
        <w:tabs>
          <w:tab w:val="left" w:pos="3670"/>
        </w:tabs>
        <w:spacing w:before="54"/>
        <w:ind w:firstLine="320" w:firstLineChars="100"/>
        <w:rPr>
          <w:rFonts w:ascii="黑体" w:eastAsia="黑体"/>
          <w:sz w:val="32"/>
        </w:rPr>
      </w:pPr>
    </w:p>
    <w:p>
      <w:pPr>
        <w:tabs>
          <w:tab w:val="left" w:pos="3670"/>
        </w:tabs>
        <w:spacing w:before="54"/>
        <w:ind w:firstLine="320" w:firstLineChars="100"/>
        <w:rPr>
          <w:rFonts w:ascii="黑体" w:eastAsia="黑体"/>
          <w:sz w:val="32"/>
        </w:rPr>
      </w:pPr>
    </w:p>
    <w:p>
      <w:pPr>
        <w:tabs>
          <w:tab w:val="left" w:pos="3670"/>
        </w:tabs>
        <w:spacing w:before="54"/>
        <w:ind w:firstLine="320" w:firstLineChars="100"/>
        <w:rPr>
          <w:rFonts w:ascii="黑体" w:eastAsia="黑体"/>
          <w:sz w:val="32"/>
        </w:rPr>
      </w:pPr>
    </w:p>
    <w:p>
      <w:pPr>
        <w:tabs>
          <w:tab w:val="left" w:pos="3670"/>
        </w:tabs>
        <w:spacing w:before="54"/>
        <w:ind w:firstLine="320" w:firstLineChars="100"/>
        <w:rPr>
          <w:rFonts w:ascii="黑体" w:eastAsia="黑体"/>
          <w:sz w:val="32"/>
        </w:rPr>
      </w:pPr>
    </w:p>
    <w:p>
      <w:pPr>
        <w:tabs>
          <w:tab w:val="left" w:pos="3670"/>
        </w:tabs>
        <w:spacing w:before="54"/>
        <w:ind w:firstLine="320" w:firstLineChars="100"/>
        <w:rPr>
          <w:rFonts w:ascii="黑体" w:eastAsia="黑体"/>
          <w:sz w:val="32"/>
        </w:rPr>
      </w:pPr>
    </w:p>
    <w:p>
      <w:pPr>
        <w:tabs>
          <w:tab w:val="left" w:pos="3670"/>
        </w:tabs>
        <w:spacing w:before="54"/>
        <w:ind w:firstLine="320" w:firstLineChars="100"/>
        <w:rPr>
          <w:rFonts w:ascii="黑体" w:eastAsia="黑体"/>
          <w:sz w:val="32"/>
        </w:rPr>
      </w:pPr>
    </w:p>
    <w:p>
      <w:pPr>
        <w:pStyle w:val="7"/>
        <w:tabs>
          <w:tab w:val="left" w:pos="6075"/>
          <w:tab w:val="left" w:pos="7423"/>
          <w:tab w:val="left" w:pos="8775"/>
        </w:tabs>
        <w:spacing w:before="58"/>
        <w:ind w:left="0"/>
      </w:pPr>
    </w:p>
    <w:p>
      <w:pPr>
        <w:pStyle w:val="4"/>
        <w:rPr>
          <w:lang w:val="en-US"/>
        </w:rPr>
      </w:pPr>
      <w:r>
        <w:rPr>
          <w:rFonts w:hint="eastAsia"/>
          <w:lang w:val="en-US"/>
        </w:rPr>
        <w:t>附件3-1、3-2、3-3</w:t>
      </w:r>
    </w:p>
    <w:p>
      <w:pPr>
        <w:rPr>
          <w:lang w:val="en-US"/>
        </w:rPr>
      </w:pPr>
    </w:p>
    <w:p>
      <w:pPr>
        <w:pStyle w:val="4"/>
        <w:jc w:val="center"/>
      </w:pPr>
      <w:r>
        <w:rPr>
          <w:rFonts w:hint="eastAsia" w:cs="Times New Roman"/>
          <w:kern w:val="2"/>
          <w:lang w:val="en-US" w:bidi="ar-SA"/>
        </w:rPr>
        <w:t>1类A采购单/1类B采购单/2类B采购单</w:t>
      </w:r>
      <w:r>
        <w:t>报价表</w:t>
      </w:r>
    </w:p>
    <w:p>
      <w:pPr>
        <w:tabs>
          <w:tab w:val="left" w:pos="2710"/>
        </w:tabs>
        <w:spacing w:before="54"/>
        <w:rPr>
          <w:rFonts w:ascii="黑体" w:hAnsi="黑体" w:eastAsia="黑体"/>
          <w:sz w:val="32"/>
        </w:rPr>
      </w:pPr>
    </w:p>
    <w:p>
      <w:pPr>
        <w:pStyle w:val="7"/>
        <w:tabs>
          <w:tab w:val="left" w:pos="6675"/>
          <w:tab w:val="left" w:pos="6750"/>
        </w:tabs>
        <w:ind w:firstLine="150" w:firstLineChars="50"/>
      </w:pPr>
      <w:r>
        <w:t>申报企业</w:t>
      </w:r>
      <w:r>
        <w:rPr>
          <w:rFonts w:hint="eastAsia"/>
        </w:rPr>
        <w:t>（盖章）</w:t>
      </w:r>
      <w:r>
        <w:t>：</w:t>
      </w:r>
      <w:r>
        <w:rPr>
          <w:u w:val="single"/>
        </w:rPr>
        <w:tab/>
      </w:r>
      <w:r>
        <w:t xml:space="preserve"> </w:t>
      </w:r>
      <w:r>
        <w:tab/>
      </w:r>
      <w:r>
        <w:tab/>
      </w:r>
    </w:p>
    <w:p>
      <w:pPr>
        <w:pStyle w:val="7"/>
        <w:tabs>
          <w:tab w:val="left" w:pos="4354"/>
          <w:tab w:val="left" w:pos="4879"/>
        </w:tabs>
        <w:ind w:firstLine="150" w:firstLineChars="50"/>
      </w:pPr>
    </w:p>
    <w:p>
      <w:pPr>
        <w:pStyle w:val="7"/>
        <w:rPr>
          <w:rFonts w:ascii="黑体" w:hAnsi="黑体" w:eastAsia="黑体"/>
          <w:sz w:val="32"/>
          <w:szCs w:val="32"/>
        </w:rPr>
      </w:pPr>
    </w:p>
    <w:p>
      <w:pPr>
        <w:jc w:val="center"/>
        <w:rPr>
          <w:rFonts w:ascii="黑体" w:hAnsi="黑体" w:eastAsia="黑体"/>
          <w:b/>
          <w:bCs/>
          <w:sz w:val="32"/>
          <w:szCs w:val="32"/>
        </w:rPr>
      </w:pPr>
      <w:r>
        <w:rPr>
          <w:rFonts w:hint="eastAsia" w:ascii="黑体" w:hAnsi="黑体" w:eastAsia="黑体"/>
          <w:sz w:val="32"/>
          <w:szCs w:val="32"/>
        </w:rPr>
        <w:t>主</w:t>
      </w:r>
      <w:r>
        <w:rPr>
          <w:rFonts w:ascii="黑体" w:hAnsi="黑体" w:eastAsia="黑体"/>
          <w:sz w:val="32"/>
          <w:szCs w:val="32"/>
        </w:rPr>
        <w:t>品规报价表</w:t>
      </w:r>
    </w:p>
    <w:p>
      <w:pPr>
        <w:pStyle w:val="7"/>
        <w:spacing w:before="2"/>
        <w:ind w:left="0"/>
        <w:rPr>
          <w:sz w:val="13"/>
        </w:rPr>
      </w:pPr>
    </w:p>
    <w:tbl>
      <w:tblPr>
        <w:tblStyle w:val="17"/>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907"/>
        <w:gridCol w:w="863"/>
        <w:gridCol w:w="851"/>
        <w:gridCol w:w="992"/>
        <w:gridCol w:w="992"/>
        <w:gridCol w:w="2692"/>
        <w:gridCol w:w="547"/>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777" w:type="dxa"/>
            <w:vAlign w:val="center"/>
          </w:tcPr>
          <w:p>
            <w:pPr>
              <w:pStyle w:val="19"/>
              <w:spacing w:before="196"/>
              <w:jc w:val="center"/>
              <w:rPr>
                <w:b/>
              </w:rPr>
            </w:pPr>
            <w:r>
              <w:rPr>
                <w:rFonts w:hint="eastAsia"/>
                <w:b/>
              </w:rPr>
              <w:t>药交</w:t>
            </w:r>
            <w:r>
              <w:rPr>
                <w:b/>
              </w:rPr>
              <w:t>ID</w:t>
            </w:r>
          </w:p>
        </w:tc>
        <w:tc>
          <w:tcPr>
            <w:tcW w:w="907" w:type="dxa"/>
            <w:vAlign w:val="center"/>
          </w:tcPr>
          <w:p>
            <w:pPr>
              <w:pStyle w:val="19"/>
              <w:spacing w:before="196"/>
              <w:jc w:val="center"/>
              <w:rPr>
                <w:b/>
              </w:rPr>
            </w:pPr>
            <w:r>
              <w:rPr>
                <w:rFonts w:hint="eastAsia"/>
                <w:b/>
              </w:rPr>
              <w:t>品种名称</w:t>
            </w:r>
          </w:p>
        </w:tc>
        <w:tc>
          <w:tcPr>
            <w:tcW w:w="863" w:type="dxa"/>
            <w:vAlign w:val="center"/>
          </w:tcPr>
          <w:p>
            <w:pPr>
              <w:pStyle w:val="19"/>
              <w:spacing w:before="196"/>
              <w:jc w:val="center"/>
            </w:pPr>
            <w:r>
              <w:rPr>
                <w:rFonts w:hint="eastAsia"/>
                <w:b/>
              </w:rPr>
              <w:t>剂型</w:t>
            </w:r>
          </w:p>
        </w:tc>
        <w:tc>
          <w:tcPr>
            <w:tcW w:w="851" w:type="dxa"/>
            <w:vAlign w:val="center"/>
          </w:tcPr>
          <w:p>
            <w:pPr>
              <w:pStyle w:val="19"/>
              <w:spacing w:before="196"/>
              <w:jc w:val="center"/>
              <w:rPr>
                <w:b/>
              </w:rPr>
            </w:pPr>
            <w:r>
              <w:rPr>
                <w:b/>
              </w:rPr>
              <w:t>规格</w:t>
            </w:r>
          </w:p>
        </w:tc>
        <w:tc>
          <w:tcPr>
            <w:tcW w:w="992" w:type="dxa"/>
            <w:vAlign w:val="center"/>
          </w:tcPr>
          <w:p>
            <w:pPr>
              <w:pStyle w:val="19"/>
              <w:spacing w:before="196"/>
              <w:jc w:val="center"/>
              <w:rPr>
                <w:b/>
              </w:rPr>
            </w:pPr>
            <w:r>
              <w:rPr>
                <w:b/>
              </w:rPr>
              <w:t>包装数量</w:t>
            </w:r>
          </w:p>
        </w:tc>
        <w:tc>
          <w:tcPr>
            <w:tcW w:w="992" w:type="dxa"/>
            <w:vAlign w:val="center"/>
          </w:tcPr>
          <w:p>
            <w:pPr>
              <w:pStyle w:val="19"/>
              <w:ind w:left="39" w:right="26"/>
              <w:jc w:val="center"/>
              <w:rPr>
                <w:b/>
              </w:rPr>
            </w:pPr>
            <w:r>
              <w:rPr>
                <w:rFonts w:hint="eastAsia"/>
                <w:b/>
              </w:rPr>
              <w:t>批准</w:t>
            </w:r>
            <w:r>
              <w:rPr>
                <w:b/>
              </w:rPr>
              <w:t>文号</w:t>
            </w:r>
          </w:p>
        </w:tc>
        <w:tc>
          <w:tcPr>
            <w:tcW w:w="2692" w:type="dxa"/>
            <w:vAlign w:val="center"/>
          </w:tcPr>
          <w:p>
            <w:pPr>
              <w:pStyle w:val="19"/>
              <w:ind w:left="39" w:right="26"/>
              <w:jc w:val="center"/>
              <w:rPr>
                <w:b/>
              </w:rPr>
            </w:pPr>
            <w:r>
              <w:rPr>
                <w:b/>
              </w:rPr>
              <w:t>生产企业</w:t>
            </w:r>
          </w:p>
          <w:p>
            <w:pPr>
              <w:pStyle w:val="19"/>
              <w:spacing w:before="196"/>
              <w:jc w:val="center"/>
              <w:rPr>
                <w:sz w:val="20"/>
              </w:rPr>
            </w:pPr>
            <w:r>
              <w:rPr>
                <w:b/>
              </w:rPr>
              <w:t>（或药品上市许可持有人）</w:t>
            </w:r>
          </w:p>
        </w:tc>
        <w:tc>
          <w:tcPr>
            <w:tcW w:w="547" w:type="dxa"/>
            <w:vAlign w:val="center"/>
          </w:tcPr>
          <w:p>
            <w:pPr>
              <w:pStyle w:val="19"/>
              <w:spacing w:before="5"/>
              <w:jc w:val="center"/>
              <w:rPr>
                <w:sz w:val="20"/>
              </w:rPr>
            </w:pPr>
            <w:r>
              <w:rPr>
                <w:rFonts w:hint="eastAsia"/>
                <w:b/>
              </w:rPr>
              <w:t>计价</w:t>
            </w:r>
            <w:r>
              <w:rPr>
                <w:b/>
              </w:rPr>
              <w:t>单位</w:t>
            </w:r>
          </w:p>
        </w:tc>
        <w:tc>
          <w:tcPr>
            <w:tcW w:w="939" w:type="dxa"/>
            <w:vAlign w:val="center"/>
          </w:tcPr>
          <w:p>
            <w:pPr>
              <w:pStyle w:val="19"/>
              <w:spacing w:before="5"/>
              <w:jc w:val="center"/>
              <w:rPr>
                <w:sz w:val="20"/>
              </w:rPr>
            </w:pPr>
          </w:p>
          <w:p>
            <w:pPr>
              <w:pStyle w:val="19"/>
              <w:spacing w:before="78"/>
              <w:ind w:left="92" w:right="26"/>
              <w:jc w:val="center"/>
              <w:rPr>
                <w:b/>
              </w:rPr>
            </w:pPr>
            <w:r>
              <w:rPr>
                <w:rFonts w:hint="eastAsia"/>
                <w:b/>
              </w:rPr>
              <w:t>申报价格</w:t>
            </w:r>
            <w:r>
              <w:rPr>
                <w:b/>
              </w:rPr>
              <w:t>（</w:t>
            </w:r>
            <w:r>
              <w:rPr>
                <w:rFonts w:hint="eastAsia"/>
                <w:b/>
              </w:rPr>
              <w:t>元</w:t>
            </w:r>
            <w:r>
              <w:rPr>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777" w:type="dxa"/>
            <w:vAlign w:val="center"/>
          </w:tcPr>
          <w:p>
            <w:pPr>
              <w:pStyle w:val="19"/>
              <w:rPr>
                <w:rFonts w:ascii="Times New Roman"/>
                <w:sz w:val="26"/>
              </w:rPr>
            </w:pPr>
          </w:p>
        </w:tc>
        <w:tc>
          <w:tcPr>
            <w:tcW w:w="907" w:type="dxa"/>
            <w:vAlign w:val="center"/>
          </w:tcPr>
          <w:p>
            <w:pPr>
              <w:pStyle w:val="19"/>
              <w:rPr>
                <w:rFonts w:asciiTheme="minorEastAsia" w:hAnsiTheme="minorEastAsia" w:eastAsiaTheme="minorEastAsia"/>
                <w:sz w:val="20"/>
                <w:szCs w:val="20"/>
              </w:rPr>
            </w:pPr>
            <w:r>
              <w:rPr>
                <w:rFonts w:hint="eastAsia" w:asciiTheme="minorEastAsia" w:hAnsiTheme="minorEastAsia" w:eastAsiaTheme="minorEastAsia"/>
                <w:sz w:val="20"/>
                <w:szCs w:val="20"/>
              </w:rPr>
              <w:t>头孢氨苄</w:t>
            </w:r>
            <w:r>
              <w:rPr>
                <w:rFonts w:asciiTheme="minorEastAsia" w:hAnsiTheme="minorEastAsia" w:eastAsiaTheme="minorEastAsia"/>
                <w:sz w:val="20"/>
                <w:szCs w:val="20"/>
              </w:rPr>
              <w:t>口服常释剂型</w:t>
            </w:r>
          </w:p>
        </w:tc>
        <w:tc>
          <w:tcPr>
            <w:tcW w:w="863" w:type="dxa"/>
            <w:vAlign w:val="center"/>
          </w:tcPr>
          <w:p>
            <w:pPr>
              <w:pStyle w:val="19"/>
              <w:jc w:val="center"/>
              <w:rPr>
                <w:rFonts w:ascii="Times New Roman"/>
                <w:sz w:val="26"/>
              </w:rPr>
            </w:pPr>
            <w:r>
              <w:rPr>
                <w:rFonts w:hint="eastAsia" w:asciiTheme="minorEastAsia" w:hAnsiTheme="minorEastAsia" w:eastAsiaTheme="minorEastAsia"/>
                <w:sz w:val="20"/>
                <w:szCs w:val="20"/>
              </w:rPr>
              <w:t>普通</w:t>
            </w:r>
            <w:r>
              <w:rPr>
                <w:rFonts w:asciiTheme="minorEastAsia" w:hAnsiTheme="minorEastAsia" w:eastAsiaTheme="minorEastAsia"/>
                <w:sz w:val="20"/>
                <w:szCs w:val="20"/>
              </w:rPr>
              <w:t>片</w:t>
            </w:r>
          </w:p>
        </w:tc>
        <w:tc>
          <w:tcPr>
            <w:tcW w:w="851"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0.125g</w:t>
            </w:r>
          </w:p>
        </w:tc>
        <w:tc>
          <w:tcPr>
            <w:tcW w:w="992" w:type="dxa"/>
            <w:vAlign w:val="center"/>
          </w:tcPr>
          <w:p>
            <w:pPr>
              <w:pStyle w:val="19"/>
              <w:jc w:val="center"/>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sz w:val="20"/>
                <w:szCs w:val="20"/>
              </w:rPr>
              <w:t>0片/盒</w:t>
            </w:r>
          </w:p>
        </w:tc>
        <w:tc>
          <w:tcPr>
            <w:tcW w:w="992" w:type="dxa"/>
            <w:vAlign w:val="center"/>
          </w:tcPr>
          <w:p>
            <w:pPr>
              <w:pStyle w:val="19"/>
              <w:jc w:val="center"/>
              <w:rPr>
                <w:rFonts w:ascii="Times New Roman"/>
                <w:sz w:val="26"/>
              </w:rPr>
            </w:pPr>
            <w:r>
              <w:rPr>
                <w:rFonts w:hint="eastAsia" w:asciiTheme="minorEastAsia" w:hAnsiTheme="minorEastAsia" w:eastAsiaTheme="minorEastAsia"/>
                <w:sz w:val="20"/>
                <w:szCs w:val="20"/>
              </w:rPr>
              <w:t>国药</w:t>
            </w:r>
            <w:r>
              <w:rPr>
                <w:rFonts w:asciiTheme="minorEastAsia" w:hAnsiTheme="minorEastAsia" w:eastAsiaTheme="minorEastAsia"/>
                <w:sz w:val="20"/>
                <w:szCs w:val="20"/>
              </w:rPr>
              <w:t>准字H****</w:t>
            </w:r>
          </w:p>
        </w:tc>
        <w:tc>
          <w:tcPr>
            <w:tcW w:w="2692" w:type="dxa"/>
            <w:vAlign w:val="center"/>
          </w:tcPr>
          <w:p>
            <w:pPr>
              <w:pStyle w:val="19"/>
              <w:rPr>
                <w:rFonts w:asciiTheme="minorEastAsia" w:hAnsiTheme="minorEastAsia" w:eastAsiaTheme="minorEastAsia"/>
                <w:sz w:val="20"/>
                <w:szCs w:val="20"/>
              </w:rPr>
            </w:pPr>
          </w:p>
        </w:tc>
        <w:tc>
          <w:tcPr>
            <w:tcW w:w="547" w:type="dxa"/>
            <w:vAlign w:val="center"/>
          </w:tcPr>
          <w:p>
            <w:pPr>
              <w:pStyle w:val="19"/>
              <w:ind w:firstLine="200" w:firstLineChars="100"/>
              <w:rPr>
                <w:rFonts w:asciiTheme="minorEastAsia" w:hAnsiTheme="minorEastAsia" w:eastAsiaTheme="minorEastAsia"/>
                <w:sz w:val="20"/>
                <w:szCs w:val="20"/>
              </w:rPr>
            </w:pPr>
            <w:r>
              <w:rPr>
                <w:rFonts w:asciiTheme="minorEastAsia" w:hAnsiTheme="minorEastAsia" w:eastAsiaTheme="minorEastAsia"/>
                <w:sz w:val="20"/>
                <w:szCs w:val="20"/>
              </w:rPr>
              <w:t>片</w:t>
            </w:r>
          </w:p>
        </w:tc>
        <w:tc>
          <w:tcPr>
            <w:tcW w:w="939" w:type="dxa"/>
            <w:vAlign w:val="center"/>
          </w:tcPr>
          <w:p>
            <w:pPr>
              <w:pStyle w:val="19"/>
              <w:ind w:firstLine="200" w:firstLineChars="100"/>
              <w:rPr>
                <w:rFonts w:asciiTheme="minorEastAsia" w:hAnsiTheme="minorEastAsia" w:eastAsiaTheme="minorEastAsia"/>
                <w:sz w:val="20"/>
                <w:szCs w:val="20"/>
              </w:rPr>
            </w:pPr>
            <w:r>
              <w:rPr>
                <w:rFonts w:hint="eastAsia" w:asciiTheme="minorEastAsia" w:hAnsiTheme="minorEastAsia" w:eastAsiaTheme="minorEastAsia"/>
                <w:sz w:val="20"/>
                <w:szCs w:val="20"/>
              </w:rPr>
              <w:t>0.0</w:t>
            </w:r>
            <w:r>
              <w:rPr>
                <w:rFonts w:asciiTheme="minorEastAsia" w:hAnsiTheme="minorEastAsia" w:eastAsiaTheme="minorEastAsia"/>
                <w:sz w:val="20"/>
                <w:szCs w:val="20"/>
              </w:rPr>
              <w:t>647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777" w:type="dxa"/>
            <w:vAlign w:val="center"/>
          </w:tcPr>
          <w:p>
            <w:pPr>
              <w:pStyle w:val="19"/>
              <w:rPr>
                <w:rFonts w:ascii="Times New Roman"/>
                <w:sz w:val="26"/>
              </w:rPr>
            </w:pPr>
          </w:p>
        </w:tc>
        <w:tc>
          <w:tcPr>
            <w:tcW w:w="907" w:type="dxa"/>
            <w:vAlign w:val="center"/>
          </w:tcPr>
          <w:p>
            <w:pPr>
              <w:pStyle w:val="19"/>
              <w:rPr>
                <w:rFonts w:asciiTheme="minorEastAsia" w:hAnsiTheme="minorEastAsia" w:eastAsiaTheme="minorEastAsia"/>
                <w:sz w:val="20"/>
                <w:szCs w:val="20"/>
              </w:rPr>
            </w:pPr>
            <w:r>
              <w:rPr>
                <w:rFonts w:hint="eastAsia" w:asciiTheme="minorEastAsia" w:hAnsiTheme="minorEastAsia" w:eastAsiaTheme="minorEastAsia"/>
                <w:sz w:val="20"/>
                <w:szCs w:val="20"/>
              </w:rPr>
              <w:t>头孢氨苄</w:t>
            </w:r>
            <w:r>
              <w:rPr>
                <w:rFonts w:asciiTheme="minorEastAsia" w:hAnsiTheme="minorEastAsia" w:eastAsiaTheme="minorEastAsia"/>
                <w:sz w:val="20"/>
                <w:szCs w:val="20"/>
              </w:rPr>
              <w:t>口服</w:t>
            </w:r>
            <w:r>
              <w:rPr>
                <w:rFonts w:hint="eastAsia" w:asciiTheme="minorEastAsia" w:hAnsiTheme="minorEastAsia" w:eastAsiaTheme="minorEastAsia"/>
                <w:sz w:val="20"/>
                <w:szCs w:val="20"/>
              </w:rPr>
              <w:t>液体</w:t>
            </w:r>
            <w:r>
              <w:rPr>
                <w:rFonts w:asciiTheme="minorEastAsia" w:hAnsiTheme="minorEastAsia" w:eastAsiaTheme="minorEastAsia"/>
                <w:sz w:val="20"/>
                <w:szCs w:val="20"/>
              </w:rPr>
              <w:t>剂型</w:t>
            </w:r>
          </w:p>
        </w:tc>
        <w:tc>
          <w:tcPr>
            <w:tcW w:w="863"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干</w:t>
            </w:r>
            <w:r>
              <w:rPr>
                <w:rFonts w:asciiTheme="minorEastAsia" w:hAnsiTheme="minorEastAsia" w:eastAsiaTheme="minorEastAsia"/>
                <w:sz w:val="20"/>
                <w:szCs w:val="20"/>
              </w:rPr>
              <w:t>混悬剂</w:t>
            </w:r>
          </w:p>
        </w:tc>
        <w:tc>
          <w:tcPr>
            <w:tcW w:w="851"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0.5g</w:t>
            </w:r>
          </w:p>
        </w:tc>
        <w:tc>
          <w:tcPr>
            <w:tcW w:w="992"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5袋/盒</w:t>
            </w:r>
          </w:p>
        </w:tc>
        <w:tc>
          <w:tcPr>
            <w:tcW w:w="992"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国药</w:t>
            </w:r>
            <w:r>
              <w:rPr>
                <w:rFonts w:asciiTheme="minorEastAsia" w:hAnsiTheme="minorEastAsia" w:eastAsiaTheme="minorEastAsia"/>
                <w:sz w:val="20"/>
                <w:szCs w:val="20"/>
              </w:rPr>
              <w:t>准字H****</w:t>
            </w:r>
          </w:p>
        </w:tc>
        <w:tc>
          <w:tcPr>
            <w:tcW w:w="2692" w:type="dxa"/>
            <w:vAlign w:val="center"/>
          </w:tcPr>
          <w:p>
            <w:pPr>
              <w:pStyle w:val="19"/>
              <w:rPr>
                <w:rFonts w:asciiTheme="minorEastAsia" w:hAnsiTheme="minorEastAsia" w:eastAsiaTheme="minorEastAsia"/>
                <w:sz w:val="20"/>
                <w:szCs w:val="20"/>
              </w:rPr>
            </w:pPr>
          </w:p>
        </w:tc>
        <w:tc>
          <w:tcPr>
            <w:tcW w:w="547" w:type="dxa"/>
            <w:vAlign w:val="center"/>
          </w:tcPr>
          <w:p>
            <w:pPr>
              <w:pStyle w:val="19"/>
              <w:ind w:firstLine="200" w:firstLineChars="100"/>
              <w:rPr>
                <w:rFonts w:asciiTheme="minorEastAsia" w:hAnsiTheme="minorEastAsia" w:eastAsiaTheme="minorEastAsia"/>
                <w:sz w:val="20"/>
                <w:szCs w:val="20"/>
              </w:rPr>
            </w:pPr>
            <w:r>
              <w:rPr>
                <w:rFonts w:hint="eastAsia" w:asciiTheme="minorEastAsia" w:hAnsiTheme="minorEastAsia" w:eastAsiaTheme="minorEastAsia"/>
                <w:sz w:val="20"/>
                <w:szCs w:val="20"/>
              </w:rPr>
              <w:t>袋</w:t>
            </w:r>
          </w:p>
        </w:tc>
        <w:tc>
          <w:tcPr>
            <w:tcW w:w="939" w:type="dxa"/>
            <w:vAlign w:val="center"/>
          </w:tcPr>
          <w:p>
            <w:pPr>
              <w:pStyle w:val="19"/>
              <w:ind w:firstLine="200" w:firstLineChars="100"/>
              <w:rPr>
                <w:rFonts w:asciiTheme="minorEastAsia" w:hAnsiTheme="minorEastAsia" w:eastAsiaTheme="minorEastAsia"/>
                <w:sz w:val="20"/>
                <w:szCs w:val="20"/>
              </w:rPr>
            </w:pPr>
            <w:r>
              <w:rPr>
                <w:rFonts w:hint="eastAsia" w:asciiTheme="minorEastAsia" w:hAnsiTheme="minorEastAsia" w:eastAsiaTheme="minorEastAsia"/>
                <w:sz w:val="20"/>
                <w:szCs w:val="20"/>
              </w:rPr>
              <w:t>0.2057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777" w:type="dxa"/>
            <w:vAlign w:val="center"/>
          </w:tcPr>
          <w:p>
            <w:pPr>
              <w:pStyle w:val="19"/>
              <w:rPr>
                <w:rFonts w:ascii="Times New Roman"/>
                <w:sz w:val="26"/>
              </w:rPr>
            </w:pPr>
          </w:p>
        </w:tc>
        <w:tc>
          <w:tcPr>
            <w:tcW w:w="907" w:type="dxa"/>
            <w:vAlign w:val="center"/>
          </w:tcPr>
          <w:p>
            <w:pPr>
              <w:pStyle w:val="19"/>
              <w:rPr>
                <w:rFonts w:asciiTheme="minorEastAsia" w:hAnsiTheme="minorEastAsia" w:eastAsiaTheme="minorEastAsia"/>
                <w:sz w:val="20"/>
                <w:szCs w:val="20"/>
              </w:rPr>
            </w:pPr>
            <w:r>
              <w:rPr>
                <w:rFonts w:hint="eastAsia" w:asciiTheme="minorEastAsia" w:hAnsiTheme="minorEastAsia" w:eastAsiaTheme="minorEastAsia"/>
                <w:sz w:val="20"/>
                <w:szCs w:val="20"/>
              </w:rPr>
              <w:t>头孢氨苄颗粒剂</w:t>
            </w:r>
          </w:p>
        </w:tc>
        <w:tc>
          <w:tcPr>
            <w:tcW w:w="863"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颗粒剂</w:t>
            </w:r>
          </w:p>
        </w:tc>
        <w:tc>
          <w:tcPr>
            <w:tcW w:w="851"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0.05g</w:t>
            </w:r>
          </w:p>
        </w:tc>
        <w:tc>
          <w:tcPr>
            <w:tcW w:w="992"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10袋/盒</w:t>
            </w:r>
          </w:p>
        </w:tc>
        <w:tc>
          <w:tcPr>
            <w:tcW w:w="992"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国药</w:t>
            </w:r>
            <w:r>
              <w:rPr>
                <w:rFonts w:asciiTheme="minorEastAsia" w:hAnsiTheme="minorEastAsia" w:eastAsiaTheme="minorEastAsia"/>
                <w:sz w:val="20"/>
                <w:szCs w:val="20"/>
              </w:rPr>
              <w:t>准字H****</w:t>
            </w:r>
          </w:p>
        </w:tc>
        <w:tc>
          <w:tcPr>
            <w:tcW w:w="2692" w:type="dxa"/>
            <w:vAlign w:val="center"/>
          </w:tcPr>
          <w:p>
            <w:pPr>
              <w:pStyle w:val="19"/>
              <w:rPr>
                <w:rFonts w:asciiTheme="minorEastAsia" w:hAnsiTheme="minorEastAsia" w:eastAsiaTheme="minorEastAsia"/>
                <w:sz w:val="20"/>
                <w:szCs w:val="20"/>
              </w:rPr>
            </w:pPr>
          </w:p>
        </w:tc>
        <w:tc>
          <w:tcPr>
            <w:tcW w:w="547" w:type="dxa"/>
            <w:vAlign w:val="center"/>
          </w:tcPr>
          <w:p>
            <w:pPr>
              <w:pStyle w:val="19"/>
              <w:ind w:firstLine="200" w:firstLineChars="100"/>
              <w:rPr>
                <w:rFonts w:asciiTheme="minorEastAsia" w:hAnsiTheme="minorEastAsia" w:eastAsiaTheme="minorEastAsia"/>
                <w:sz w:val="20"/>
                <w:szCs w:val="20"/>
              </w:rPr>
            </w:pPr>
            <w:r>
              <w:rPr>
                <w:rFonts w:hint="eastAsia" w:asciiTheme="minorEastAsia" w:hAnsiTheme="minorEastAsia" w:eastAsiaTheme="minorEastAsia"/>
                <w:sz w:val="20"/>
                <w:szCs w:val="20"/>
              </w:rPr>
              <w:t>袋</w:t>
            </w:r>
          </w:p>
        </w:tc>
        <w:tc>
          <w:tcPr>
            <w:tcW w:w="939" w:type="dxa"/>
            <w:vAlign w:val="center"/>
          </w:tcPr>
          <w:p>
            <w:pPr>
              <w:pStyle w:val="19"/>
              <w:ind w:firstLine="200" w:firstLineChars="100"/>
              <w:rPr>
                <w:rFonts w:asciiTheme="minorEastAsia" w:hAnsiTheme="minorEastAsia" w:eastAsiaTheme="minorEastAsia"/>
                <w:sz w:val="20"/>
                <w:szCs w:val="20"/>
              </w:rPr>
            </w:pPr>
            <w:r>
              <w:rPr>
                <w:rFonts w:hint="eastAsia" w:asciiTheme="minorEastAsia" w:hAnsiTheme="minorEastAsia" w:eastAsiaTheme="minorEastAsia"/>
                <w:sz w:val="20"/>
                <w:szCs w:val="20"/>
              </w:rPr>
              <w:t>0.0385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777" w:type="dxa"/>
            <w:vAlign w:val="center"/>
          </w:tcPr>
          <w:p>
            <w:pPr>
              <w:pStyle w:val="19"/>
              <w:rPr>
                <w:rFonts w:ascii="Times New Roman"/>
                <w:sz w:val="26"/>
              </w:rPr>
            </w:pPr>
          </w:p>
        </w:tc>
        <w:tc>
          <w:tcPr>
            <w:tcW w:w="907" w:type="dxa"/>
            <w:vAlign w:val="center"/>
          </w:tcPr>
          <w:p>
            <w:pPr>
              <w:pStyle w:val="19"/>
              <w:rPr>
                <w:rFonts w:asciiTheme="minorEastAsia" w:hAnsiTheme="minorEastAsia" w:eastAsiaTheme="minorEastAsia"/>
                <w:sz w:val="20"/>
                <w:szCs w:val="20"/>
              </w:rPr>
            </w:pPr>
            <w:r>
              <w:rPr>
                <w:rFonts w:hint="eastAsia" w:asciiTheme="minorEastAsia" w:hAnsiTheme="minorEastAsia" w:eastAsiaTheme="minorEastAsia"/>
                <w:sz w:val="20"/>
                <w:szCs w:val="20"/>
              </w:rPr>
              <w:t>头孢氨苄泡腾片</w:t>
            </w:r>
          </w:p>
        </w:tc>
        <w:tc>
          <w:tcPr>
            <w:tcW w:w="863"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泡腾片</w:t>
            </w:r>
          </w:p>
        </w:tc>
        <w:tc>
          <w:tcPr>
            <w:tcW w:w="851"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0.125g</w:t>
            </w:r>
          </w:p>
        </w:tc>
        <w:tc>
          <w:tcPr>
            <w:tcW w:w="992"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20片/盒</w:t>
            </w:r>
          </w:p>
        </w:tc>
        <w:tc>
          <w:tcPr>
            <w:tcW w:w="992"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国药</w:t>
            </w:r>
            <w:r>
              <w:rPr>
                <w:rFonts w:asciiTheme="minorEastAsia" w:hAnsiTheme="minorEastAsia" w:eastAsiaTheme="minorEastAsia"/>
                <w:sz w:val="20"/>
                <w:szCs w:val="20"/>
              </w:rPr>
              <w:t>准字H****</w:t>
            </w:r>
          </w:p>
        </w:tc>
        <w:tc>
          <w:tcPr>
            <w:tcW w:w="2692" w:type="dxa"/>
            <w:vAlign w:val="center"/>
          </w:tcPr>
          <w:p>
            <w:pPr>
              <w:pStyle w:val="19"/>
              <w:rPr>
                <w:rFonts w:asciiTheme="minorEastAsia" w:hAnsiTheme="minorEastAsia" w:eastAsiaTheme="minorEastAsia"/>
                <w:sz w:val="20"/>
                <w:szCs w:val="20"/>
              </w:rPr>
            </w:pPr>
          </w:p>
        </w:tc>
        <w:tc>
          <w:tcPr>
            <w:tcW w:w="547" w:type="dxa"/>
            <w:vAlign w:val="center"/>
          </w:tcPr>
          <w:p>
            <w:pPr>
              <w:pStyle w:val="19"/>
              <w:ind w:firstLine="200" w:firstLineChars="100"/>
              <w:rPr>
                <w:rFonts w:asciiTheme="minorEastAsia" w:hAnsiTheme="minorEastAsia" w:eastAsiaTheme="minorEastAsia"/>
                <w:sz w:val="20"/>
                <w:szCs w:val="20"/>
              </w:rPr>
            </w:pPr>
            <w:r>
              <w:rPr>
                <w:rFonts w:hint="eastAsia" w:asciiTheme="minorEastAsia" w:hAnsiTheme="minorEastAsia" w:eastAsiaTheme="minorEastAsia"/>
                <w:sz w:val="20"/>
                <w:szCs w:val="20"/>
              </w:rPr>
              <w:t>片</w:t>
            </w:r>
          </w:p>
        </w:tc>
        <w:tc>
          <w:tcPr>
            <w:tcW w:w="939" w:type="dxa"/>
            <w:vAlign w:val="center"/>
          </w:tcPr>
          <w:p>
            <w:pPr>
              <w:pStyle w:val="19"/>
              <w:ind w:firstLine="200" w:firstLineChars="100"/>
              <w:rPr>
                <w:rFonts w:asciiTheme="minorEastAsia" w:hAnsiTheme="minorEastAsia" w:eastAsiaTheme="minorEastAsia"/>
                <w:sz w:val="20"/>
                <w:szCs w:val="20"/>
              </w:rPr>
            </w:pPr>
            <w:r>
              <w:rPr>
                <w:rFonts w:hint="eastAsia" w:asciiTheme="minorEastAsia" w:hAnsiTheme="minorEastAsia" w:eastAsiaTheme="minorEastAsia"/>
                <w:sz w:val="20"/>
                <w:szCs w:val="20"/>
              </w:rPr>
              <w:t>0.0841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777" w:type="dxa"/>
            <w:vAlign w:val="center"/>
          </w:tcPr>
          <w:p>
            <w:pPr>
              <w:pStyle w:val="19"/>
              <w:rPr>
                <w:rFonts w:ascii="Times New Roman"/>
                <w:sz w:val="26"/>
              </w:rPr>
            </w:pPr>
          </w:p>
        </w:tc>
        <w:tc>
          <w:tcPr>
            <w:tcW w:w="907" w:type="dxa"/>
            <w:vAlign w:val="center"/>
          </w:tcPr>
          <w:p>
            <w:pPr>
              <w:pStyle w:val="19"/>
              <w:rPr>
                <w:rFonts w:asciiTheme="minorEastAsia" w:hAnsiTheme="minorEastAsia" w:eastAsiaTheme="minorEastAsia"/>
                <w:sz w:val="20"/>
                <w:szCs w:val="20"/>
              </w:rPr>
            </w:pPr>
            <w:r>
              <w:rPr>
                <w:rFonts w:hint="eastAsia" w:asciiTheme="minorEastAsia" w:hAnsiTheme="minorEastAsia" w:eastAsiaTheme="minorEastAsia"/>
                <w:sz w:val="20"/>
                <w:szCs w:val="20"/>
              </w:rPr>
              <w:t>头孢氨苄缓释控释</w:t>
            </w:r>
            <w:r>
              <w:rPr>
                <w:rFonts w:asciiTheme="minorEastAsia" w:hAnsiTheme="minorEastAsia" w:eastAsiaTheme="minorEastAsia"/>
                <w:sz w:val="20"/>
                <w:szCs w:val="20"/>
              </w:rPr>
              <w:t>剂型</w:t>
            </w:r>
          </w:p>
        </w:tc>
        <w:tc>
          <w:tcPr>
            <w:tcW w:w="863"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缓释片</w:t>
            </w:r>
          </w:p>
        </w:tc>
        <w:tc>
          <w:tcPr>
            <w:tcW w:w="851"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0.25g</w:t>
            </w:r>
          </w:p>
        </w:tc>
        <w:tc>
          <w:tcPr>
            <w:tcW w:w="992"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10片/盒</w:t>
            </w:r>
          </w:p>
        </w:tc>
        <w:tc>
          <w:tcPr>
            <w:tcW w:w="992" w:type="dxa"/>
            <w:vAlign w:val="center"/>
          </w:tcPr>
          <w:p>
            <w:pPr>
              <w:pStyle w:val="1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国药</w:t>
            </w:r>
            <w:r>
              <w:rPr>
                <w:rFonts w:asciiTheme="minorEastAsia" w:hAnsiTheme="minorEastAsia" w:eastAsiaTheme="minorEastAsia"/>
                <w:sz w:val="20"/>
                <w:szCs w:val="20"/>
              </w:rPr>
              <w:t>准字H****</w:t>
            </w:r>
          </w:p>
        </w:tc>
        <w:tc>
          <w:tcPr>
            <w:tcW w:w="2692" w:type="dxa"/>
            <w:vAlign w:val="center"/>
          </w:tcPr>
          <w:p>
            <w:pPr>
              <w:pStyle w:val="19"/>
              <w:rPr>
                <w:rFonts w:asciiTheme="minorEastAsia" w:hAnsiTheme="minorEastAsia" w:eastAsiaTheme="minorEastAsia"/>
                <w:sz w:val="20"/>
                <w:szCs w:val="20"/>
              </w:rPr>
            </w:pPr>
          </w:p>
        </w:tc>
        <w:tc>
          <w:tcPr>
            <w:tcW w:w="547" w:type="dxa"/>
            <w:vAlign w:val="center"/>
          </w:tcPr>
          <w:p>
            <w:pPr>
              <w:pStyle w:val="19"/>
              <w:ind w:firstLine="200" w:firstLineChars="100"/>
              <w:rPr>
                <w:rFonts w:asciiTheme="minorEastAsia" w:hAnsiTheme="minorEastAsia" w:eastAsiaTheme="minorEastAsia"/>
                <w:sz w:val="20"/>
                <w:szCs w:val="20"/>
              </w:rPr>
            </w:pPr>
            <w:r>
              <w:rPr>
                <w:rFonts w:hint="eastAsia" w:asciiTheme="minorEastAsia" w:hAnsiTheme="minorEastAsia" w:eastAsiaTheme="minorEastAsia"/>
                <w:sz w:val="20"/>
                <w:szCs w:val="20"/>
              </w:rPr>
              <w:t>片</w:t>
            </w:r>
          </w:p>
        </w:tc>
        <w:tc>
          <w:tcPr>
            <w:tcW w:w="939" w:type="dxa"/>
            <w:vAlign w:val="center"/>
          </w:tcPr>
          <w:p>
            <w:pPr>
              <w:pStyle w:val="19"/>
              <w:ind w:firstLine="200" w:firstLineChars="100"/>
              <w:rPr>
                <w:rFonts w:asciiTheme="minorEastAsia" w:hAnsiTheme="minorEastAsia" w:eastAsiaTheme="minorEastAsia"/>
                <w:sz w:val="20"/>
                <w:szCs w:val="20"/>
              </w:rPr>
            </w:pPr>
            <w:r>
              <w:rPr>
                <w:rFonts w:hint="eastAsia" w:asciiTheme="minorEastAsia" w:hAnsiTheme="minorEastAsia" w:eastAsiaTheme="minorEastAsia"/>
                <w:sz w:val="20"/>
                <w:szCs w:val="20"/>
              </w:rPr>
              <w:t>0.7620</w:t>
            </w:r>
          </w:p>
        </w:tc>
      </w:tr>
    </w:tbl>
    <w:p>
      <w:pPr>
        <w:pStyle w:val="7"/>
        <w:tabs>
          <w:tab w:val="left" w:pos="3695"/>
          <w:tab w:val="left" w:pos="4879"/>
        </w:tabs>
        <w:spacing w:line="360" w:lineRule="auto"/>
        <w:ind w:left="0"/>
        <w:rPr>
          <w:sz w:val="32"/>
          <w:szCs w:val="32"/>
        </w:rPr>
      </w:pPr>
    </w:p>
    <w:p>
      <w:pPr>
        <w:pStyle w:val="7"/>
        <w:tabs>
          <w:tab w:val="left" w:pos="6523"/>
        </w:tabs>
        <w:spacing w:before="178" w:line="350" w:lineRule="auto"/>
        <w:ind w:left="1884" w:leftChars="400" w:right="341" w:hanging="1004" w:hangingChars="500"/>
        <w:rPr>
          <w:rFonts w:asciiTheme="minorEastAsia" w:hAnsiTheme="minorEastAsia" w:eastAsiaTheme="minorEastAsia"/>
          <w:b/>
          <w:sz w:val="20"/>
          <w:szCs w:val="20"/>
        </w:rPr>
      </w:pPr>
      <w:r>
        <w:rPr>
          <w:rFonts w:hint="eastAsia" w:asciiTheme="minorEastAsia" w:hAnsiTheme="minorEastAsia" w:eastAsiaTheme="minorEastAsia"/>
          <w:b/>
          <w:sz w:val="20"/>
          <w:szCs w:val="20"/>
        </w:rPr>
        <w:t>说明</w:t>
      </w:r>
      <w:r>
        <w:rPr>
          <w:rFonts w:asciiTheme="minorEastAsia" w:hAnsiTheme="minorEastAsia" w:eastAsiaTheme="minorEastAsia"/>
          <w:b/>
          <w:sz w:val="20"/>
          <w:szCs w:val="20"/>
        </w:rPr>
        <w:t>：</w:t>
      </w:r>
      <w:r>
        <w:rPr>
          <w:rFonts w:hint="eastAsia" w:asciiTheme="minorEastAsia" w:hAnsiTheme="minorEastAsia" w:eastAsiaTheme="minorEastAsia"/>
          <w:b/>
          <w:sz w:val="20"/>
          <w:szCs w:val="20"/>
        </w:rPr>
        <w:t>1.</w:t>
      </w:r>
      <w:r>
        <w:rPr>
          <w:rFonts w:asciiTheme="minorEastAsia" w:hAnsiTheme="minorEastAsia" w:eastAsiaTheme="minorEastAsia"/>
          <w:b/>
          <w:sz w:val="20"/>
          <w:szCs w:val="20"/>
        </w:rPr>
        <w:t>企业同品种有多个规格的，</w:t>
      </w:r>
      <w:r>
        <w:rPr>
          <w:rFonts w:hint="eastAsia" w:asciiTheme="minorEastAsia" w:hAnsiTheme="minorEastAsia" w:eastAsiaTheme="minorEastAsia"/>
          <w:b/>
          <w:sz w:val="20"/>
          <w:szCs w:val="20"/>
        </w:rPr>
        <w:t>仅须</w:t>
      </w:r>
      <w:r>
        <w:rPr>
          <w:rFonts w:asciiTheme="minorEastAsia" w:hAnsiTheme="minorEastAsia" w:eastAsiaTheme="minorEastAsia"/>
          <w:b/>
          <w:sz w:val="20"/>
          <w:szCs w:val="20"/>
        </w:rPr>
        <w:t>选择任一规格作为主</w:t>
      </w:r>
      <w:r>
        <w:rPr>
          <w:rFonts w:hint="eastAsia" w:asciiTheme="minorEastAsia" w:hAnsiTheme="minorEastAsia" w:eastAsiaTheme="minorEastAsia"/>
          <w:b/>
          <w:sz w:val="20"/>
          <w:szCs w:val="20"/>
        </w:rPr>
        <w:t>品</w:t>
      </w:r>
      <w:r>
        <w:rPr>
          <w:rFonts w:asciiTheme="minorEastAsia" w:hAnsiTheme="minorEastAsia" w:eastAsiaTheme="minorEastAsia"/>
          <w:b/>
          <w:sz w:val="20"/>
          <w:szCs w:val="20"/>
        </w:rPr>
        <w:t>规，</w:t>
      </w:r>
      <w:r>
        <w:rPr>
          <w:rFonts w:hint="eastAsia" w:asciiTheme="minorEastAsia" w:hAnsiTheme="minorEastAsia" w:eastAsiaTheme="minorEastAsia"/>
          <w:b/>
          <w:sz w:val="20"/>
          <w:szCs w:val="20"/>
        </w:rPr>
        <w:t>申报价格</w:t>
      </w:r>
      <w:r>
        <w:rPr>
          <w:rFonts w:asciiTheme="minorEastAsia" w:hAnsiTheme="minorEastAsia" w:eastAsiaTheme="minorEastAsia"/>
          <w:b/>
          <w:sz w:val="20"/>
          <w:szCs w:val="20"/>
        </w:rPr>
        <w:t>以主品规进行。</w:t>
      </w:r>
    </w:p>
    <w:p>
      <w:pPr>
        <w:pStyle w:val="7"/>
        <w:tabs>
          <w:tab w:val="left" w:pos="3695"/>
          <w:tab w:val="left" w:pos="4879"/>
        </w:tabs>
        <w:spacing w:line="360" w:lineRule="auto"/>
        <w:ind w:firstLine="1305" w:firstLineChars="650"/>
        <w:rPr>
          <w:rFonts w:asciiTheme="minorEastAsia" w:hAnsiTheme="minorEastAsia" w:eastAsiaTheme="minorEastAsia"/>
          <w:b/>
          <w:sz w:val="20"/>
          <w:szCs w:val="20"/>
        </w:rPr>
      </w:pPr>
      <w:r>
        <w:rPr>
          <w:rFonts w:asciiTheme="minorEastAsia" w:hAnsiTheme="minorEastAsia" w:eastAsiaTheme="minorEastAsia"/>
          <w:b/>
          <w:sz w:val="20"/>
          <w:szCs w:val="20"/>
        </w:rPr>
        <w:t>2</w:t>
      </w:r>
      <w:r>
        <w:rPr>
          <w:rFonts w:hint="eastAsia" w:asciiTheme="minorEastAsia" w:hAnsiTheme="minorEastAsia" w:eastAsiaTheme="minorEastAsia"/>
          <w:b/>
          <w:sz w:val="20"/>
          <w:szCs w:val="20"/>
        </w:rPr>
        <w:t>.该报价</w:t>
      </w:r>
      <w:r>
        <w:rPr>
          <w:rFonts w:asciiTheme="minorEastAsia" w:hAnsiTheme="minorEastAsia" w:eastAsiaTheme="minorEastAsia"/>
          <w:b/>
          <w:sz w:val="20"/>
          <w:szCs w:val="20"/>
        </w:rPr>
        <w:t>表的主品规</w:t>
      </w:r>
      <w:r>
        <w:rPr>
          <w:rFonts w:hint="eastAsia" w:asciiTheme="minorEastAsia" w:hAnsiTheme="minorEastAsia" w:eastAsiaTheme="minorEastAsia"/>
          <w:b/>
          <w:sz w:val="20"/>
          <w:szCs w:val="20"/>
        </w:rPr>
        <w:t>信息</w:t>
      </w:r>
      <w:r>
        <w:rPr>
          <w:rFonts w:asciiTheme="minorEastAsia" w:hAnsiTheme="minorEastAsia" w:eastAsiaTheme="minorEastAsia"/>
          <w:b/>
          <w:sz w:val="20"/>
          <w:szCs w:val="20"/>
        </w:rPr>
        <w:t>须与</w:t>
      </w:r>
      <w:r>
        <w:rPr>
          <w:rFonts w:hint="eastAsia" w:asciiTheme="minorEastAsia" w:hAnsiTheme="minorEastAsia" w:eastAsiaTheme="minorEastAsia"/>
          <w:b/>
          <w:sz w:val="20"/>
          <w:szCs w:val="20"/>
        </w:rPr>
        <w:t>企业在</w:t>
      </w:r>
      <w:r>
        <w:rPr>
          <w:rFonts w:asciiTheme="minorEastAsia" w:hAnsiTheme="minorEastAsia" w:eastAsiaTheme="minorEastAsia"/>
          <w:b/>
          <w:sz w:val="20"/>
          <w:szCs w:val="20"/>
        </w:rPr>
        <w:t>系统中申报的主品规</w:t>
      </w:r>
      <w:r>
        <w:rPr>
          <w:rFonts w:hint="eastAsia" w:asciiTheme="minorEastAsia" w:hAnsiTheme="minorEastAsia" w:eastAsiaTheme="minorEastAsia"/>
          <w:b/>
          <w:sz w:val="20"/>
          <w:szCs w:val="20"/>
        </w:rPr>
        <w:t>信息</w:t>
      </w:r>
      <w:r>
        <w:rPr>
          <w:rFonts w:asciiTheme="minorEastAsia" w:hAnsiTheme="minorEastAsia" w:eastAsiaTheme="minorEastAsia"/>
          <w:b/>
          <w:sz w:val="20"/>
          <w:szCs w:val="20"/>
        </w:rPr>
        <w:t>一致。</w:t>
      </w:r>
    </w:p>
    <w:p>
      <w:pPr>
        <w:pStyle w:val="7"/>
        <w:tabs>
          <w:tab w:val="left" w:pos="3695"/>
          <w:tab w:val="left" w:pos="4879"/>
        </w:tabs>
        <w:spacing w:line="360" w:lineRule="auto"/>
        <w:ind w:firstLine="1305" w:firstLineChars="650"/>
        <w:rPr>
          <w:rFonts w:asciiTheme="minorEastAsia" w:hAnsiTheme="minorEastAsia" w:eastAsiaTheme="minorEastAsia"/>
          <w:b/>
          <w:sz w:val="20"/>
          <w:szCs w:val="20"/>
        </w:rPr>
      </w:pPr>
      <w:r>
        <w:rPr>
          <w:rFonts w:asciiTheme="minorEastAsia" w:hAnsiTheme="minorEastAsia" w:eastAsiaTheme="minorEastAsia"/>
          <w:b/>
          <w:sz w:val="20"/>
          <w:szCs w:val="20"/>
        </w:rPr>
        <w:t>3</w:t>
      </w:r>
      <w:r>
        <w:rPr>
          <w:rFonts w:hint="eastAsia" w:asciiTheme="minorEastAsia" w:hAnsiTheme="minorEastAsia" w:eastAsiaTheme="minorEastAsia"/>
          <w:b/>
          <w:sz w:val="20"/>
          <w:szCs w:val="20"/>
        </w:rPr>
        <w:t>.企业申报</w:t>
      </w:r>
      <w:r>
        <w:rPr>
          <w:rFonts w:asciiTheme="minorEastAsia" w:hAnsiTheme="minorEastAsia" w:eastAsiaTheme="minorEastAsia"/>
          <w:b/>
          <w:sz w:val="20"/>
          <w:szCs w:val="20"/>
        </w:rPr>
        <w:t>价格</w:t>
      </w:r>
      <w:r>
        <w:rPr>
          <w:rFonts w:hint="eastAsia" w:asciiTheme="minorEastAsia" w:hAnsiTheme="minorEastAsia" w:eastAsiaTheme="minorEastAsia"/>
          <w:b/>
          <w:sz w:val="20"/>
          <w:szCs w:val="20"/>
        </w:rPr>
        <w:t>应以</w:t>
      </w:r>
      <w:r>
        <w:rPr>
          <w:rFonts w:asciiTheme="minorEastAsia" w:hAnsiTheme="minorEastAsia" w:eastAsiaTheme="minorEastAsia"/>
          <w:b/>
          <w:sz w:val="20"/>
          <w:szCs w:val="20"/>
        </w:rPr>
        <w:t>最小计量单位（</w:t>
      </w:r>
      <w:r>
        <w:rPr>
          <w:rFonts w:hint="eastAsia" w:asciiTheme="minorEastAsia" w:hAnsiTheme="minorEastAsia" w:eastAsiaTheme="minorEastAsia"/>
          <w:b/>
          <w:sz w:val="20"/>
          <w:szCs w:val="20"/>
        </w:rPr>
        <w:t>片/粒/袋</w:t>
      </w:r>
      <w:r>
        <w:rPr>
          <w:rFonts w:asciiTheme="minorEastAsia" w:hAnsiTheme="minorEastAsia" w:eastAsiaTheme="minorEastAsia"/>
          <w:b/>
          <w:sz w:val="20"/>
          <w:szCs w:val="20"/>
        </w:rPr>
        <w:t>等）</w:t>
      </w:r>
      <w:r>
        <w:rPr>
          <w:rFonts w:hint="eastAsia" w:asciiTheme="minorEastAsia" w:hAnsiTheme="minorEastAsia" w:eastAsiaTheme="minorEastAsia"/>
          <w:b/>
          <w:sz w:val="20"/>
          <w:szCs w:val="20"/>
        </w:rPr>
        <w:t>作为</w:t>
      </w:r>
      <w:r>
        <w:rPr>
          <w:rFonts w:asciiTheme="minorEastAsia" w:hAnsiTheme="minorEastAsia" w:eastAsiaTheme="minorEastAsia"/>
          <w:b/>
          <w:sz w:val="20"/>
          <w:szCs w:val="20"/>
        </w:rPr>
        <w:t>计价单位</w:t>
      </w:r>
    </w:p>
    <w:p>
      <w:pPr>
        <w:pStyle w:val="7"/>
        <w:tabs>
          <w:tab w:val="left" w:pos="3695"/>
          <w:tab w:val="left" w:pos="4879"/>
        </w:tabs>
        <w:spacing w:line="360" w:lineRule="auto"/>
        <w:ind w:firstLine="1305" w:firstLineChars="650"/>
        <w:rPr>
          <w:rFonts w:asciiTheme="minorEastAsia" w:hAnsiTheme="minorEastAsia" w:eastAsiaTheme="minorEastAsia"/>
          <w:b/>
          <w:sz w:val="20"/>
          <w:szCs w:val="20"/>
        </w:rPr>
      </w:pPr>
      <w:r>
        <w:rPr>
          <w:rFonts w:asciiTheme="minorEastAsia" w:hAnsiTheme="minorEastAsia" w:eastAsiaTheme="minorEastAsia"/>
          <w:b/>
          <w:sz w:val="20"/>
          <w:szCs w:val="20"/>
        </w:rPr>
        <w:t>4</w:t>
      </w:r>
      <w:r>
        <w:rPr>
          <w:rFonts w:hint="eastAsia" w:asciiTheme="minorEastAsia" w:hAnsiTheme="minorEastAsia" w:eastAsiaTheme="minorEastAsia"/>
          <w:b/>
          <w:sz w:val="20"/>
          <w:szCs w:val="20"/>
        </w:rPr>
        <w:t>.</w:t>
      </w:r>
      <w:r>
        <w:rPr>
          <w:rFonts w:asciiTheme="minorEastAsia" w:hAnsiTheme="minorEastAsia" w:eastAsiaTheme="minorEastAsia"/>
          <w:b/>
          <w:sz w:val="20"/>
          <w:szCs w:val="20"/>
        </w:rPr>
        <w:t>企业</w:t>
      </w:r>
      <w:r>
        <w:rPr>
          <w:rFonts w:hint="eastAsia" w:asciiTheme="minorEastAsia" w:hAnsiTheme="minorEastAsia" w:eastAsiaTheme="minorEastAsia"/>
          <w:b/>
          <w:sz w:val="20"/>
          <w:szCs w:val="20"/>
        </w:rPr>
        <w:t>申报</w:t>
      </w:r>
      <w:r>
        <w:rPr>
          <w:rFonts w:asciiTheme="minorEastAsia" w:hAnsiTheme="minorEastAsia" w:eastAsiaTheme="minorEastAsia"/>
          <w:b/>
          <w:sz w:val="20"/>
          <w:szCs w:val="20"/>
        </w:rPr>
        <w:t>价格应</w:t>
      </w:r>
      <w:r>
        <w:rPr>
          <w:rFonts w:hint="eastAsia" w:asciiTheme="minorEastAsia" w:hAnsiTheme="minorEastAsia" w:eastAsiaTheme="minorEastAsia"/>
          <w:b/>
          <w:sz w:val="20"/>
          <w:szCs w:val="20"/>
        </w:rPr>
        <w:t>按</w:t>
      </w:r>
      <w:r>
        <w:rPr>
          <w:rFonts w:asciiTheme="minorEastAsia" w:hAnsiTheme="minorEastAsia" w:eastAsiaTheme="minorEastAsia"/>
          <w:b/>
          <w:sz w:val="20"/>
          <w:szCs w:val="20"/>
        </w:rPr>
        <w:t>人民币（</w:t>
      </w:r>
      <w:r>
        <w:rPr>
          <w:rFonts w:hint="eastAsia" w:asciiTheme="minorEastAsia" w:hAnsiTheme="minorEastAsia" w:eastAsiaTheme="minorEastAsia"/>
          <w:b/>
          <w:sz w:val="20"/>
          <w:szCs w:val="20"/>
        </w:rPr>
        <w:t>元</w:t>
      </w:r>
      <w:r>
        <w:rPr>
          <w:rFonts w:asciiTheme="minorEastAsia" w:hAnsiTheme="minorEastAsia" w:eastAsiaTheme="minorEastAsia"/>
          <w:b/>
          <w:sz w:val="20"/>
          <w:szCs w:val="20"/>
        </w:rPr>
        <w:t>）</w:t>
      </w:r>
      <w:r>
        <w:rPr>
          <w:rFonts w:hint="eastAsia" w:asciiTheme="minorEastAsia" w:hAnsiTheme="minorEastAsia" w:eastAsiaTheme="minorEastAsia"/>
          <w:b/>
          <w:sz w:val="20"/>
          <w:szCs w:val="20"/>
        </w:rPr>
        <w:t>并</w:t>
      </w:r>
      <w:r>
        <w:rPr>
          <w:rFonts w:asciiTheme="minorEastAsia" w:hAnsiTheme="minorEastAsia" w:eastAsiaTheme="minorEastAsia"/>
          <w:b/>
          <w:sz w:val="20"/>
          <w:szCs w:val="20"/>
        </w:rPr>
        <w:t>对应“</w:t>
      </w:r>
      <w:r>
        <w:rPr>
          <w:rFonts w:hint="eastAsia" w:asciiTheme="minorEastAsia" w:hAnsiTheme="minorEastAsia" w:eastAsiaTheme="minorEastAsia"/>
          <w:b/>
          <w:sz w:val="20"/>
          <w:szCs w:val="20"/>
        </w:rPr>
        <w:t>计价</w:t>
      </w:r>
      <w:r>
        <w:rPr>
          <w:rFonts w:asciiTheme="minorEastAsia" w:hAnsiTheme="minorEastAsia" w:eastAsiaTheme="minorEastAsia"/>
          <w:b/>
          <w:sz w:val="20"/>
          <w:szCs w:val="20"/>
        </w:rPr>
        <w:t>单位”</w:t>
      </w:r>
      <w:r>
        <w:rPr>
          <w:rFonts w:hint="eastAsia" w:asciiTheme="minorEastAsia" w:hAnsiTheme="minorEastAsia" w:eastAsiaTheme="minorEastAsia"/>
          <w:b/>
          <w:sz w:val="20"/>
          <w:szCs w:val="20"/>
        </w:rPr>
        <w:t>进行申报（小数点</w:t>
      </w:r>
      <w:r>
        <w:rPr>
          <w:rFonts w:asciiTheme="minorEastAsia" w:hAnsiTheme="minorEastAsia" w:eastAsiaTheme="minorEastAsia"/>
          <w:b/>
          <w:sz w:val="20"/>
          <w:szCs w:val="20"/>
        </w:rPr>
        <w:t>后保留</w:t>
      </w:r>
      <w:r>
        <w:rPr>
          <w:rFonts w:hint="eastAsia" w:asciiTheme="minorEastAsia" w:hAnsiTheme="minorEastAsia" w:eastAsiaTheme="minorEastAsia"/>
          <w:b/>
          <w:sz w:val="20"/>
          <w:szCs w:val="20"/>
        </w:rPr>
        <w:t>4位）。</w:t>
      </w:r>
    </w:p>
    <w:p>
      <w:pPr>
        <w:pStyle w:val="7"/>
        <w:tabs>
          <w:tab w:val="left" w:pos="3695"/>
          <w:tab w:val="left" w:pos="4879"/>
        </w:tabs>
        <w:spacing w:line="360" w:lineRule="auto"/>
        <w:ind w:firstLine="1305" w:firstLineChars="650"/>
        <w:rPr>
          <w:rFonts w:asciiTheme="minorEastAsia" w:hAnsiTheme="minorEastAsia" w:eastAsiaTheme="minorEastAsia"/>
          <w:b/>
          <w:sz w:val="20"/>
          <w:szCs w:val="20"/>
        </w:rPr>
      </w:pPr>
      <w:r>
        <w:rPr>
          <w:rFonts w:asciiTheme="minorEastAsia" w:hAnsiTheme="minorEastAsia" w:eastAsiaTheme="minorEastAsia"/>
          <w:b/>
          <w:sz w:val="20"/>
          <w:szCs w:val="20"/>
        </w:rPr>
        <w:t>5</w:t>
      </w:r>
      <w:r>
        <w:rPr>
          <w:rFonts w:hint="eastAsia" w:asciiTheme="minorEastAsia" w:hAnsiTheme="minorEastAsia" w:eastAsiaTheme="minorEastAsia"/>
          <w:b/>
          <w:sz w:val="20"/>
          <w:szCs w:val="20"/>
        </w:rPr>
        <w:t>.上述</w:t>
      </w:r>
      <w:r>
        <w:rPr>
          <w:rFonts w:asciiTheme="minorEastAsia" w:hAnsiTheme="minorEastAsia" w:eastAsiaTheme="minorEastAsia"/>
          <w:b/>
          <w:sz w:val="20"/>
          <w:szCs w:val="20"/>
        </w:rPr>
        <w:t>表格为填报示例，请企业根据自身实际情况填报。</w:t>
      </w:r>
    </w:p>
    <w:p>
      <w:pPr>
        <w:tabs>
          <w:tab w:val="left" w:pos="2710"/>
        </w:tabs>
        <w:spacing w:before="54"/>
        <w:rPr>
          <w:rFonts w:ascii="黑体" w:hAnsi="黑体" w:eastAsia="黑体"/>
          <w:sz w:val="32"/>
        </w:rPr>
      </w:pPr>
    </w:p>
    <w:p>
      <w:pPr>
        <w:pStyle w:val="7"/>
        <w:tabs>
          <w:tab w:val="left" w:pos="5618"/>
        </w:tabs>
        <w:ind w:left="0" w:right="414"/>
        <w:jc w:val="right"/>
        <w:rPr>
          <w:spacing w:val="-1"/>
        </w:rPr>
      </w:pPr>
    </w:p>
    <w:p>
      <w:pPr>
        <w:pStyle w:val="7"/>
        <w:tabs>
          <w:tab w:val="left" w:pos="5618"/>
        </w:tabs>
        <w:ind w:left="0" w:right="414"/>
        <w:jc w:val="right"/>
        <w:rPr>
          <w:spacing w:val="-1"/>
        </w:rPr>
      </w:pPr>
    </w:p>
    <w:p>
      <w:pPr>
        <w:pStyle w:val="7"/>
        <w:tabs>
          <w:tab w:val="left" w:pos="5618"/>
        </w:tabs>
        <w:ind w:left="0" w:right="414"/>
        <w:jc w:val="right"/>
        <w:rPr>
          <w:rFonts w:ascii="Times New Roman" w:eastAsia="Times New Roman"/>
        </w:rPr>
      </w:pPr>
      <w:r>
        <w:rPr>
          <w:rFonts w:hint="eastAsia"/>
          <w:spacing w:val="-1"/>
        </w:rPr>
        <w:t>企业被</w:t>
      </w:r>
      <w:r>
        <w:rPr>
          <w:spacing w:val="-1"/>
        </w:rPr>
        <w:t>授权人（</w:t>
      </w:r>
      <w:r>
        <w:rPr>
          <w:rFonts w:hint="eastAsia"/>
          <w:spacing w:val="-1"/>
        </w:rPr>
        <w:t>签字</w:t>
      </w:r>
      <w:r>
        <w:rPr>
          <w:spacing w:val="-1"/>
        </w:rPr>
        <w:t>）</w:t>
      </w:r>
      <w:r>
        <w:t>：</w:t>
      </w:r>
      <w:r>
        <w:rPr>
          <w:rFonts w:ascii="Times New Roman" w:eastAsia="Times New Roman"/>
          <w:u w:val="single"/>
        </w:rPr>
        <w:t xml:space="preserve"> </w:t>
      </w:r>
      <w:r>
        <w:rPr>
          <w:rFonts w:ascii="Times New Roman" w:eastAsia="Times New Roman"/>
          <w:u w:val="single"/>
        </w:rPr>
        <w:tab/>
      </w:r>
    </w:p>
    <w:p>
      <w:pPr>
        <w:pStyle w:val="7"/>
        <w:spacing w:before="9"/>
        <w:ind w:left="0"/>
        <w:rPr>
          <w:rFonts w:ascii="Times New Roman"/>
          <w:sz w:val="14"/>
        </w:rPr>
      </w:pPr>
    </w:p>
    <w:p>
      <w:pPr>
        <w:pStyle w:val="7"/>
        <w:tabs>
          <w:tab w:val="left" w:pos="6075"/>
          <w:tab w:val="left" w:pos="7423"/>
          <w:tab w:val="left" w:pos="8775"/>
        </w:tabs>
        <w:spacing w:before="58"/>
        <w:ind w:left="3531"/>
      </w:pPr>
      <w:r>
        <w:t>日期</w:t>
      </w:r>
      <w:r>
        <w:rPr>
          <w:spacing w:val="-8"/>
        </w:rPr>
        <w:t>：</w:t>
      </w:r>
      <w:r>
        <w:rPr>
          <w:spacing w:val="-8"/>
          <w:u w:val="single"/>
        </w:rPr>
        <w:t xml:space="preserve"> </w:t>
      </w:r>
      <w:r>
        <w:rPr>
          <w:spacing w:val="-8"/>
          <w:u w:val="single"/>
        </w:rPr>
        <w:tab/>
      </w:r>
      <w:r>
        <w:t>年</w:t>
      </w:r>
      <w:r>
        <w:rPr>
          <w:u w:val="single"/>
        </w:rPr>
        <w:t xml:space="preserve"> </w:t>
      </w:r>
      <w:r>
        <w:rPr>
          <w:u w:val="single"/>
        </w:rPr>
        <w:tab/>
      </w:r>
      <w:r>
        <w:t>月</w:t>
      </w:r>
      <w:r>
        <w:rPr>
          <w:u w:val="single"/>
        </w:rPr>
        <w:t xml:space="preserve"> </w:t>
      </w:r>
      <w:r>
        <w:rPr>
          <w:u w:val="single"/>
        </w:rPr>
        <w:tab/>
      </w:r>
      <w:r>
        <w:t>日</w:t>
      </w:r>
    </w:p>
    <w:p>
      <w:pPr>
        <w:pStyle w:val="4"/>
        <w:tabs>
          <w:tab w:val="left" w:pos="3190"/>
        </w:tabs>
        <w:ind w:left="0" w:firstLine="320" w:firstLineChars="100"/>
      </w:pPr>
      <w:r>
        <w:rPr>
          <w:rFonts w:hint="eastAsia"/>
        </w:rPr>
        <w:t xml:space="preserve">附件4 </w:t>
      </w:r>
    </w:p>
    <w:p/>
    <w:p>
      <w:pPr>
        <w:pStyle w:val="2"/>
        <w:rPr>
          <w:rFonts w:hint="default"/>
          <w:lang w:val="zh-CN" w:bidi="zh-CN"/>
        </w:rPr>
      </w:pPr>
    </w:p>
    <w:p>
      <w:pPr>
        <w:ind w:firstLine="330" w:firstLineChars="150"/>
      </w:pPr>
      <w:r>
        <w:rPr>
          <w:rFonts w:hint="eastAsia"/>
        </w:rPr>
        <w:t>合同编号：</w:t>
      </w:r>
    </w:p>
    <w:p>
      <w:pPr>
        <w:jc w:val="center"/>
      </w:pPr>
    </w:p>
    <w:p>
      <w:pPr>
        <w:pStyle w:val="2"/>
        <w:rPr>
          <w:rFonts w:hint="default"/>
          <w:lang w:val="zh-CN" w:bidi="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广东省药品交易中心</w:t>
      </w:r>
    </w:p>
    <w:p>
      <w:pPr>
        <w:spacing w:after="122" w:line="259" w:lineRule="auto"/>
        <w:ind w:left="10"/>
        <w:jc w:val="center"/>
        <w:rPr>
          <w:rFonts w:ascii="方正小标宋_GBK" w:hAnsi="方正小标宋_GBK" w:eastAsia="方正小标宋_GBK" w:cs="方正小标宋_GBK"/>
          <w:sz w:val="40"/>
        </w:rPr>
      </w:pPr>
      <w:r>
        <w:rPr>
          <w:rFonts w:hint="eastAsia" w:ascii="方正小标宋简体" w:hAnsi="方正小标宋简体" w:eastAsia="方正小标宋简体" w:cs="方正小标宋简体"/>
          <w:sz w:val="44"/>
          <w:szCs w:val="44"/>
        </w:rPr>
        <w:t>头孢氨苄药品联盟地区集团带量采购购销合同</w:t>
      </w:r>
    </w:p>
    <w:p>
      <w:pPr>
        <w:spacing w:after="122" w:line="259" w:lineRule="auto"/>
        <w:ind w:left="10"/>
        <w:jc w:val="center"/>
        <w:rPr>
          <w:rFonts w:ascii="方正小标宋_GBK" w:hAnsi="方正小标宋_GBK" w:eastAsia="方正小标宋_GBK" w:cs="方正小标宋_GBK"/>
          <w:sz w:val="40"/>
        </w:rPr>
      </w:pPr>
    </w:p>
    <w:p>
      <w:pPr>
        <w:spacing w:line="473" w:lineRule="auto"/>
        <w:ind w:left="8136" w:leftChars="198" w:hanging="7700" w:hangingChars="3500"/>
      </w:pPr>
      <w:r>
        <w:rPr>
          <w:rFonts w:hint="eastAsia"/>
        </w:rPr>
        <w:t xml:space="preserve">交收地址：中国广东省*市*区*路                   </w:t>
      </w:r>
    </w:p>
    <w:p>
      <w:pPr>
        <w:spacing w:line="473" w:lineRule="auto"/>
        <w:ind w:left="8136" w:leftChars="198" w:hanging="7700" w:hangingChars="3500"/>
      </w:pPr>
      <w:r>
        <w:rPr>
          <w:rFonts w:hint="eastAsia"/>
        </w:rPr>
        <w:t>生效时间： 20 * 年 * 月* 日</w:t>
      </w:r>
    </w:p>
    <w:p>
      <w:pPr>
        <w:spacing w:line="473" w:lineRule="auto"/>
        <w:ind w:left="8136" w:leftChars="198" w:hanging="7700" w:hangingChars="3500"/>
      </w:pPr>
      <w:r>
        <w:rPr>
          <w:rFonts w:hint="eastAsia"/>
        </w:rPr>
        <w:t>有效期：20 * 年 * 月* 日至20 * 年 * 月* 日</w:t>
      </w:r>
    </w:p>
    <w:p>
      <w:pPr>
        <w:spacing w:line="473" w:lineRule="auto"/>
        <w:ind w:left="8136" w:leftChars="198" w:hanging="7700" w:hangingChars="3500"/>
      </w:pPr>
    </w:p>
    <w:p>
      <w:pPr>
        <w:spacing w:line="473" w:lineRule="auto"/>
        <w:ind w:left="213" w:leftChars="97" w:firstLine="209" w:firstLineChars="95"/>
      </w:pPr>
      <w:r>
        <w:rPr>
          <w:rFonts w:hint="eastAsia"/>
        </w:rPr>
        <w:t>甲方(公立医疗机构)：</w:t>
      </w:r>
    </w:p>
    <w:p>
      <w:pPr>
        <w:spacing w:line="473" w:lineRule="auto"/>
        <w:ind w:left="213" w:leftChars="97" w:firstLine="209" w:firstLineChars="95"/>
      </w:pPr>
      <w:r>
        <w:rPr>
          <w:rFonts w:hint="eastAsia"/>
        </w:rPr>
        <w:t>乙方(生产企业)：</w:t>
      </w:r>
    </w:p>
    <w:p>
      <w:pPr>
        <w:spacing w:after="194"/>
        <w:ind w:left="213" w:leftChars="97" w:firstLine="209" w:firstLineChars="95"/>
      </w:pPr>
      <w:r>
        <w:rPr>
          <w:rFonts w:hint="eastAsia"/>
        </w:rPr>
        <w:t>丙方(配送企业)：</w:t>
      </w:r>
    </w:p>
    <w:p>
      <w:pPr>
        <w:spacing w:after="194"/>
        <w:ind w:left="5"/>
      </w:pPr>
    </w:p>
    <w:p>
      <w:pPr>
        <w:adjustRightInd w:val="0"/>
        <w:spacing w:line="360" w:lineRule="auto"/>
        <w:ind w:firstLine="440" w:firstLineChars="200"/>
      </w:pPr>
      <w:r>
        <w:rPr>
          <w:rFonts w:hint="eastAsia"/>
        </w:rPr>
        <w:t>根据《中华人民共和国合同法》《中华人民共和国药品管理法》《药品流通监督管理办法》《药品经营质量管理规范》等相关</w:t>
      </w:r>
      <w:r>
        <w:rPr>
          <w:rFonts w:hint="eastAsia"/>
          <w:lang w:val="en-US"/>
        </w:rPr>
        <w:t>法律法规及</w:t>
      </w:r>
      <w:r>
        <w:rPr>
          <w:rFonts w:hint="eastAsia"/>
        </w:rPr>
        <w:t>《头孢氨苄药品联盟地区集团带量采购文件》（采购文件编号：</w:t>
      </w:r>
      <w:r>
        <w:t>GDYJYPDL202101</w:t>
      </w:r>
      <w:r>
        <w:rPr>
          <w:rFonts w:hint="eastAsia"/>
        </w:rPr>
        <w:t>）规定，为确保药品网上交易的顺利进行，明确各方的权利和义务，现甲、乙、丙三方在平等、自愿、诚信的基础上，特订立本合同。</w:t>
      </w:r>
    </w:p>
    <w:p>
      <w:pPr>
        <w:spacing w:line="360" w:lineRule="auto"/>
        <w:ind w:left="10"/>
      </w:pPr>
      <w:r>
        <w:rPr>
          <w:rFonts w:hint="eastAsia"/>
        </w:rPr>
        <w:t xml:space="preserve"> </w:t>
      </w:r>
    </w:p>
    <w:p>
      <w:pPr>
        <w:spacing w:line="360" w:lineRule="auto"/>
        <w:ind w:firstLine="442" w:firstLineChars="200"/>
        <w:rPr>
          <w:b/>
          <w:bCs/>
        </w:rPr>
      </w:pPr>
      <w:r>
        <w:rPr>
          <w:rFonts w:hint="eastAsia"/>
          <w:b/>
          <w:bCs/>
        </w:rPr>
        <w:t>第一条 三方关系</w:t>
      </w:r>
    </w:p>
    <w:p>
      <w:pPr>
        <w:adjustRightInd w:val="0"/>
        <w:spacing w:line="360" w:lineRule="auto"/>
        <w:ind w:firstLine="440" w:firstLineChars="200"/>
      </w:pPr>
      <w:r>
        <w:rPr>
          <w:rFonts w:hint="eastAsia"/>
        </w:rPr>
        <w:t>1.甲方为参与头孢氨苄药品联盟地区集团带量采购（以下</w:t>
      </w:r>
      <w:r>
        <w:t>简称头孢氨苄联盟带量采购</w:t>
      </w:r>
      <w:r>
        <w:rPr>
          <w:rFonts w:hint="eastAsia"/>
        </w:rPr>
        <w:t>）的</w:t>
      </w:r>
      <w:r>
        <w:rPr>
          <w:rFonts w:hint="eastAsia"/>
          <w:lang w:val="en-US"/>
        </w:rPr>
        <w:t>医疗机构</w:t>
      </w:r>
      <w:r>
        <w:rPr>
          <w:rFonts w:hint="eastAsia"/>
        </w:rPr>
        <w:t>，乙方为</w:t>
      </w:r>
      <w:r>
        <w:t>头孢氨苄联盟带量采购</w:t>
      </w:r>
      <w:r>
        <w:rPr>
          <w:rFonts w:hint="eastAsia"/>
        </w:rPr>
        <w:t>中选药品的生产企业，丙方为乙方委托的</w:t>
      </w:r>
      <w:r>
        <w:t>头孢氨苄联盟带量采购</w:t>
      </w:r>
      <w:r>
        <w:rPr>
          <w:rFonts w:hint="eastAsia"/>
        </w:rPr>
        <w:t>中选药品的配送企业。</w:t>
      </w:r>
    </w:p>
    <w:p>
      <w:pPr>
        <w:spacing w:line="360" w:lineRule="auto"/>
        <w:ind w:firstLine="440" w:firstLineChars="200"/>
      </w:pPr>
      <w:r>
        <w:rPr>
          <w:rFonts w:hint="eastAsia"/>
        </w:rPr>
        <w:t>2.在本合同有效期内，三方之间的药品购销行为以及因此而产生的其他关系均受本合同约束。</w:t>
      </w:r>
    </w:p>
    <w:p>
      <w:pPr>
        <w:spacing w:line="360" w:lineRule="auto"/>
        <w:ind w:firstLine="442" w:firstLineChars="200"/>
        <w:rPr>
          <w:b/>
          <w:bCs/>
        </w:rPr>
      </w:pPr>
    </w:p>
    <w:p>
      <w:pPr>
        <w:spacing w:line="360" w:lineRule="auto"/>
        <w:ind w:firstLine="442" w:firstLineChars="200"/>
        <w:rPr>
          <w:b/>
          <w:bCs/>
        </w:rPr>
      </w:pPr>
      <w:r>
        <w:rPr>
          <w:rFonts w:hint="eastAsia"/>
          <w:b/>
          <w:bCs/>
        </w:rPr>
        <w:t>第二条 合同标的</w:t>
      </w:r>
    </w:p>
    <w:p>
      <w:pPr>
        <w:spacing w:line="360" w:lineRule="auto"/>
        <w:ind w:left="5"/>
      </w:pPr>
      <w:r>
        <w:rPr>
          <w:rFonts w:hint="eastAsia"/>
        </w:rPr>
        <w:t xml:space="preserve">    中选药品的名称、剂型、规格、包装规格、中选价格、约定采购量、生产企业等见本合同附件之中选药品采购明细表。</w:t>
      </w:r>
    </w:p>
    <w:p>
      <w:pPr>
        <w:spacing w:line="360" w:lineRule="auto"/>
        <w:ind w:left="5"/>
      </w:pPr>
    </w:p>
    <w:p>
      <w:pPr>
        <w:spacing w:line="360" w:lineRule="auto"/>
        <w:ind w:firstLine="442" w:firstLineChars="200"/>
        <w:rPr>
          <w:b/>
          <w:bCs/>
        </w:rPr>
      </w:pPr>
      <w:r>
        <w:rPr>
          <w:rFonts w:hint="eastAsia"/>
          <w:b/>
          <w:bCs/>
        </w:rPr>
        <w:t>第三条</w:t>
      </w:r>
      <w:r>
        <w:rPr>
          <w:b/>
          <w:bCs/>
        </w:rPr>
        <w:t xml:space="preserve"> 资质</w:t>
      </w:r>
    </w:p>
    <w:p>
      <w:pPr>
        <w:spacing w:line="360" w:lineRule="auto"/>
        <w:ind w:firstLine="440" w:firstLineChars="200"/>
      </w:pPr>
      <w:r>
        <w:t>1.乙方为合法的药品生产企业，且具备法定的履行本</w:t>
      </w:r>
      <w:r>
        <w:rPr>
          <w:rFonts w:hint="eastAsia"/>
        </w:rPr>
        <w:t>合同</w:t>
      </w:r>
      <w:r>
        <w:t>的能力，乙方应当在签订本</w:t>
      </w:r>
      <w:r>
        <w:rPr>
          <w:rFonts w:hint="eastAsia"/>
        </w:rPr>
        <w:t>合同</w:t>
      </w:r>
      <w:r>
        <w:t>后的 3日内向丙方提供如下加盖有乙方公章的材料复印件：</w:t>
      </w:r>
    </w:p>
    <w:p>
      <w:pPr>
        <w:spacing w:line="360" w:lineRule="auto"/>
        <w:ind w:firstLine="440" w:firstLineChars="200"/>
      </w:pPr>
      <w:r>
        <w:rPr>
          <w:rFonts w:hint="eastAsia"/>
        </w:rPr>
        <w:t>（</w:t>
      </w:r>
      <w:r>
        <w:t>1）营业执照；</w:t>
      </w:r>
    </w:p>
    <w:p>
      <w:pPr>
        <w:spacing w:line="360" w:lineRule="auto"/>
        <w:ind w:firstLine="440" w:firstLineChars="200"/>
      </w:pPr>
      <w:r>
        <w:rPr>
          <w:rFonts w:hint="eastAsia"/>
        </w:rPr>
        <w:t>（</w:t>
      </w:r>
      <w:r>
        <w:t>2）药品生产许可证</w:t>
      </w:r>
      <w:r>
        <w:rPr>
          <w:rFonts w:hint="eastAsia"/>
        </w:rPr>
        <w:t>。</w:t>
      </w:r>
    </w:p>
    <w:p>
      <w:pPr>
        <w:spacing w:line="360" w:lineRule="auto"/>
        <w:ind w:firstLine="440" w:firstLineChars="200"/>
      </w:pPr>
      <w:r>
        <w:t>2.丙方为合法的药品配送企业，且具备法定的履行本</w:t>
      </w:r>
      <w:r>
        <w:rPr>
          <w:rFonts w:hint="eastAsia"/>
        </w:rPr>
        <w:t>合同</w:t>
      </w:r>
      <w:r>
        <w:t>的能力，丙方应当在签订本</w:t>
      </w:r>
      <w:r>
        <w:rPr>
          <w:rFonts w:hint="eastAsia"/>
        </w:rPr>
        <w:t>合同</w:t>
      </w:r>
      <w:r>
        <w:t>后的 3日内向甲方、乙方提供如下加盖有丙方公章的材料复印件：</w:t>
      </w:r>
    </w:p>
    <w:p>
      <w:pPr>
        <w:spacing w:line="360" w:lineRule="auto"/>
        <w:ind w:firstLine="440" w:firstLineChars="200"/>
      </w:pPr>
      <w:r>
        <w:rPr>
          <w:rFonts w:hint="eastAsia"/>
        </w:rPr>
        <w:t>（</w:t>
      </w:r>
      <w:r>
        <w:t>1）营业执照；</w:t>
      </w:r>
    </w:p>
    <w:p>
      <w:pPr>
        <w:spacing w:line="360" w:lineRule="auto"/>
        <w:ind w:firstLine="440" w:firstLineChars="200"/>
      </w:pPr>
      <w:r>
        <w:rPr>
          <w:rFonts w:hint="eastAsia"/>
        </w:rPr>
        <w:t>（</w:t>
      </w:r>
      <w:r>
        <w:t>2）</w:t>
      </w:r>
      <w:r>
        <w:rPr>
          <w:rFonts w:hint="eastAsia"/>
        </w:rPr>
        <w:t>药</w:t>
      </w:r>
      <w:r>
        <w:t>品经营许可证</w:t>
      </w:r>
      <w:r>
        <w:rPr>
          <w:rFonts w:hint="eastAsia"/>
        </w:rPr>
        <w:t>。</w:t>
      </w:r>
    </w:p>
    <w:p>
      <w:pPr>
        <w:spacing w:line="360" w:lineRule="auto"/>
        <w:ind w:firstLine="440" w:firstLineChars="200"/>
      </w:pPr>
      <w:r>
        <w:t>3.乙方、丙方中任何一方未提供上述材料的，本</w:t>
      </w:r>
      <w:r>
        <w:rPr>
          <w:rFonts w:hint="eastAsia"/>
        </w:rPr>
        <w:t>合同</w:t>
      </w:r>
      <w:r>
        <w:t>不得继续履行。</w:t>
      </w:r>
    </w:p>
    <w:p>
      <w:pPr>
        <w:spacing w:line="360" w:lineRule="auto"/>
        <w:ind w:firstLine="440" w:firstLineChars="200"/>
      </w:pPr>
      <w:r>
        <w:t>4.在本</w:t>
      </w:r>
      <w:r>
        <w:rPr>
          <w:rFonts w:hint="eastAsia"/>
        </w:rPr>
        <w:t>合同</w:t>
      </w:r>
      <w:r>
        <w:t>履行期间，如遇乙、丙双方上述证书换发，双方应在证书换发后的 10 个工作日内向对方以及甲方更新材料。</w:t>
      </w:r>
    </w:p>
    <w:p>
      <w:pPr>
        <w:spacing w:line="360" w:lineRule="auto"/>
        <w:ind w:firstLine="440" w:firstLineChars="200"/>
      </w:pPr>
    </w:p>
    <w:p>
      <w:pPr>
        <w:spacing w:line="360" w:lineRule="auto"/>
        <w:ind w:firstLine="442" w:firstLineChars="200"/>
        <w:rPr>
          <w:b/>
          <w:bCs/>
        </w:rPr>
      </w:pPr>
      <w:r>
        <w:rPr>
          <w:rFonts w:hint="eastAsia"/>
          <w:b/>
          <w:bCs/>
        </w:rPr>
        <w:t>第四条 交易方式</w:t>
      </w:r>
    </w:p>
    <w:p>
      <w:pPr>
        <w:adjustRightInd w:val="0"/>
        <w:spacing w:line="360" w:lineRule="auto"/>
        <w:ind w:left="440" w:leftChars="200"/>
      </w:pPr>
      <w:r>
        <w:rPr>
          <w:rFonts w:hint="eastAsia"/>
        </w:rPr>
        <w:t>甲方、乙方、丙方对本合同所列中选药品通过</w:t>
      </w:r>
      <w:r>
        <w:rPr>
          <w:rFonts w:hint="eastAsia"/>
          <w:u w:val="single"/>
        </w:rPr>
        <w:t xml:space="preserve">     </w:t>
      </w:r>
      <w:r>
        <w:rPr>
          <w:rFonts w:hint="eastAsia"/>
        </w:rPr>
        <w:t>（省/广州/深圳）平台进行线上采购。</w:t>
      </w:r>
    </w:p>
    <w:p>
      <w:pPr>
        <w:spacing w:line="360" w:lineRule="auto"/>
        <w:ind w:left="10"/>
      </w:pPr>
      <w:r>
        <w:rPr>
          <w:rFonts w:hint="eastAsia"/>
        </w:rPr>
        <w:t xml:space="preserve">  </w:t>
      </w:r>
    </w:p>
    <w:p>
      <w:pPr>
        <w:spacing w:line="360" w:lineRule="auto"/>
        <w:ind w:left="213" w:leftChars="97" w:firstLine="210" w:firstLineChars="95"/>
        <w:rPr>
          <w:b/>
          <w:bCs/>
        </w:rPr>
      </w:pPr>
      <w:r>
        <w:rPr>
          <w:rFonts w:hint="eastAsia"/>
          <w:b/>
          <w:bCs/>
        </w:rPr>
        <w:t>第五条 药品质量、批件与有效期</w:t>
      </w:r>
    </w:p>
    <w:p>
      <w:pPr>
        <w:numPr>
          <w:ilvl w:val="255"/>
          <w:numId w:val="0"/>
        </w:numPr>
        <w:spacing w:line="360" w:lineRule="auto"/>
        <w:ind w:firstLine="440" w:firstLineChars="200"/>
      </w:pPr>
      <w:r>
        <w:rPr>
          <w:rFonts w:hint="eastAsia"/>
        </w:rPr>
        <w:t>1.乙方供应的中选药品应符合中选药品生产国与中华人民共和国国家药品质量标准和有关质量要求，并与投标时承诺的质量相一致，以确保用药安全有效。药品的包装、标识、标签、说明书等应符合国家相关规定，并具备国家管理部门的相关批件。</w:t>
      </w:r>
    </w:p>
    <w:p>
      <w:pPr>
        <w:numPr>
          <w:ilvl w:val="255"/>
          <w:numId w:val="0"/>
        </w:numPr>
        <w:spacing w:line="360" w:lineRule="auto"/>
        <w:ind w:firstLine="440" w:firstLineChars="200"/>
      </w:pPr>
      <w:r>
        <w:rPr>
          <w:rFonts w:hint="eastAsia"/>
        </w:rPr>
        <w:t>2.乙方、丙方应向甲方提供其合法的有效证件及所供中选药品的生产批件或进口药品注册证、质量标准等相关文件。</w:t>
      </w:r>
    </w:p>
    <w:p>
      <w:pPr>
        <w:numPr>
          <w:ilvl w:val="255"/>
          <w:numId w:val="0"/>
        </w:numPr>
        <w:spacing w:line="360" w:lineRule="auto"/>
        <w:ind w:firstLine="440" w:firstLineChars="200"/>
      </w:pPr>
      <w:r>
        <w:rPr>
          <w:rFonts w:hint="eastAsia"/>
        </w:rPr>
        <w:t>3.各方对药品质量存在争议时，应送甲方所在地药检部门检验，同时报告所在地医保部门。如送检药品存在质量问题的，检验费用乙方承担，甲方有权据此单方终止该中选药品购销合同的履行，同时报告所在地医保、药监部门，按《广东省医疗保障局关于做好药品和医用耗材采购工作的指导意见》（粤医保规〔</w:t>
      </w:r>
      <w:r>
        <w:t>2020〕2号）</w:t>
      </w:r>
      <w:r>
        <w:rPr>
          <w:rFonts w:hint="eastAsia"/>
        </w:rPr>
        <w:t>及《头孢氨苄药品联盟地区集团带量采购文件》（采购文件编号：</w:t>
      </w:r>
      <w:r>
        <w:t>GDYJYPDL202101</w:t>
      </w:r>
      <w:r>
        <w:rPr>
          <w:rFonts w:hint="eastAsia"/>
        </w:rPr>
        <w:t>）相关条款处理；如送检药品无质量问题的，合同继续履行，检验费用由甲方承担。</w:t>
      </w:r>
    </w:p>
    <w:p>
      <w:pPr>
        <w:numPr>
          <w:ilvl w:val="255"/>
          <w:numId w:val="0"/>
        </w:numPr>
        <w:spacing w:line="360" w:lineRule="auto"/>
        <w:ind w:firstLine="440" w:firstLineChars="200"/>
      </w:pPr>
      <w:r>
        <w:rPr>
          <w:rFonts w:hint="eastAsia"/>
          <w:lang w:val="en-US"/>
        </w:rPr>
        <w:t>4</w:t>
      </w:r>
      <w:r>
        <w:rPr>
          <w:rFonts w:hint="eastAsia"/>
        </w:rPr>
        <w:t>.</w:t>
      </w:r>
      <w:r>
        <w:rPr>
          <w:rFonts w:hint="eastAsia"/>
          <w:lang w:val="en-US"/>
        </w:rPr>
        <w:t>甲、乙、丙三方按各自责任范围承担药品储存及质量管理责任：</w:t>
      </w:r>
    </w:p>
    <w:p>
      <w:pPr>
        <w:numPr>
          <w:ilvl w:val="255"/>
          <w:numId w:val="0"/>
        </w:numPr>
        <w:spacing w:line="360" w:lineRule="auto"/>
        <w:ind w:firstLine="440" w:firstLineChars="200"/>
      </w:pPr>
      <w:r>
        <w:rPr>
          <w:rFonts w:hint="eastAsia"/>
        </w:rPr>
        <w:t>（1）甲方对已购进的中选药品应妥善储存和管理，如因甲方库存条件不符合药品正常储存造成的药品质量问题，由甲方承担全部责任。</w:t>
      </w:r>
    </w:p>
    <w:p>
      <w:pPr>
        <w:numPr>
          <w:ilvl w:val="255"/>
          <w:numId w:val="0"/>
        </w:numPr>
        <w:spacing w:line="360" w:lineRule="auto"/>
        <w:ind w:firstLine="440" w:firstLineChars="200"/>
      </w:pPr>
      <w:r>
        <w:rPr>
          <w:rFonts w:hint="eastAsia"/>
        </w:rPr>
        <w:t>（2）丙方对已购进的中选药品应妥善储存和管理，如因丙方库存条件不符合药品正常储存造成的药品质量问题，由丙方承担全部责任。</w:t>
      </w:r>
    </w:p>
    <w:p>
      <w:pPr>
        <w:numPr>
          <w:ilvl w:val="255"/>
          <w:numId w:val="0"/>
        </w:numPr>
        <w:spacing w:line="360" w:lineRule="auto"/>
        <w:ind w:firstLine="440" w:firstLineChars="200"/>
      </w:pPr>
      <w:r>
        <w:rPr>
          <w:rFonts w:hint="eastAsia"/>
        </w:rPr>
        <w:t>（3）除上述原因外的药品质量问题造成的一切损失及第三方责任，由乙方和丙方</w:t>
      </w:r>
      <w:r>
        <w:rPr>
          <w:rFonts w:hint="eastAsia"/>
          <w:lang w:val="en-US"/>
        </w:rPr>
        <w:t>连带</w:t>
      </w:r>
      <w:r>
        <w:rPr>
          <w:rFonts w:hint="eastAsia"/>
        </w:rPr>
        <w:t>承担全部责任。有关乙方和丙方之间内部责任问题按双方约定。</w:t>
      </w:r>
    </w:p>
    <w:p>
      <w:pPr>
        <w:numPr>
          <w:ilvl w:val="255"/>
          <w:numId w:val="0"/>
        </w:numPr>
        <w:spacing w:line="360" w:lineRule="auto"/>
        <w:ind w:firstLine="440" w:firstLineChars="200"/>
      </w:pPr>
      <w:r>
        <w:rPr>
          <w:rFonts w:hint="eastAsia"/>
          <w:lang w:val="en-US"/>
        </w:rPr>
        <w:t>5</w:t>
      </w:r>
      <w:r>
        <w:rPr>
          <w:rFonts w:hint="eastAsia"/>
        </w:rPr>
        <w:t>.</w:t>
      </w:r>
      <w:r>
        <w:t>前述中选药品批件应当随货提供。</w:t>
      </w:r>
    </w:p>
    <w:p>
      <w:pPr>
        <w:numPr>
          <w:ilvl w:val="255"/>
          <w:numId w:val="0"/>
        </w:numPr>
        <w:spacing w:line="360" w:lineRule="auto"/>
        <w:ind w:firstLine="440" w:firstLineChars="200"/>
      </w:pPr>
      <w:r>
        <w:rPr>
          <w:rFonts w:hint="eastAsia"/>
          <w:lang w:val="en-US"/>
        </w:rPr>
        <w:t>6</w:t>
      </w:r>
      <w:r>
        <w:rPr>
          <w:rFonts w:hint="eastAsia"/>
        </w:rPr>
        <w:t>.乙</w:t>
      </w:r>
      <w:r>
        <w:t>方确保其每次交付给</w:t>
      </w:r>
      <w:r>
        <w:rPr>
          <w:rFonts w:hint="eastAsia"/>
        </w:rPr>
        <w:t>丙</w:t>
      </w:r>
      <w:r>
        <w:t>方的中选药品时，供货中选药品的剩余有效期符合如下条件：</w:t>
      </w:r>
    </w:p>
    <w:p>
      <w:pPr>
        <w:numPr>
          <w:ilvl w:val="255"/>
          <w:numId w:val="0"/>
        </w:numPr>
        <w:spacing w:line="360" w:lineRule="auto"/>
        <w:ind w:firstLine="440" w:firstLineChars="200"/>
      </w:pPr>
      <w:r>
        <w:rPr>
          <w:rFonts w:hint="eastAsia"/>
        </w:rPr>
        <w:t>（</w:t>
      </w:r>
      <w:r>
        <w:t>1）中选药品有效期为一年的，剩余有效期至少为九个月；</w:t>
      </w:r>
    </w:p>
    <w:p>
      <w:pPr>
        <w:numPr>
          <w:ilvl w:val="255"/>
          <w:numId w:val="0"/>
        </w:numPr>
        <w:spacing w:line="360" w:lineRule="auto"/>
        <w:ind w:firstLine="440" w:firstLineChars="200"/>
      </w:pPr>
      <w:r>
        <w:rPr>
          <w:rFonts w:hint="eastAsia"/>
        </w:rPr>
        <w:t>（</w:t>
      </w:r>
      <w:r>
        <w:t>2）中选药品有效期为一年半至两年的，剩余有效期至少为十二个月；</w:t>
      </w:r>
    </w:p>
    <w:p>
      <w:pPr>
        <w:numPr>
          <w:ilvl w:val="255"/>
          <w:numId w:val="0"/>
        </w:numPr>
        <w:spacing w:line="360" w:lineRule="auto"/>
        <w:ind w:firstLine="440" w:firstLineChars="200"/>
      </w:pPr>
      <w:r>
        <w:rPr>
          <w:rFonts w:hint="eastAsia"/>
        </w:rPr>
        <w:t>（</w:t>
      </w:r>
      <w:r>
        <w:t>3）中选药品有效期超过二年的，剩余有效期至少为十五个月。</w:t>
      </w:r>
    </w:p>
    <w:p>
      <w:pPr>
        <w:numPr>
          <w:ilvl w:val="255"/>
          <w:numId w:val="0"/>
        </w:numPr>
        <w:spacing w:line="360" w:lineRule="auto"/>
        <w:ind w:firstLine="440" w:firstLineChars="200"/>
      </w:pPr>
      <w:r>
        <w:rPr>
          <w:rFonts w:hint="eastAsia"/>
        </w:rPr>
        <w:t>如遇特殊情况，甲、乙、丙三方可另行通过补充协议的方式约定剩余有效期的长短。在中选药品发生货源紧张的状况下，</w:t>
      </w:r>
      <w:r>
        <w:rPr>
          <w:rFonts w:hint="eastAsia"/>
          <w:lang w:val="en-US"/>
        </w:rPr>
        <w:t>乙</w:t>
      </w:r>
      <w:r>
        <w:rPr>
          <w:rFonts w:hint="eastAsia"/>
        </w:rPr>
        <w:t>方应优先满足本合同的需求，避免脱销。</w:t>
      </w:r>
    </w:p>
    <w:p>
      <w:pPr>
        <w:numPr>
          <w:ilvl w:val="255"/>
          <w:numId w:val="0"/>
        </w:numPr>
        <w:spacing w:line="360" w:lineRule="auto"/>
        <w:ind w:firstLine="440" w:firstLineChars="200"/>
      </w:pPr>
      <w:r>
        <w:rPr>
          <w:rFonts w:hint="eastAsia"/>
          <w:lang w:val="en-US"/>
        </w:rPr>
        <w:t>7</w:t>
      </w:r>
      <w:r>
        <w:rPr>
          <w:rFonts w:hint="eastAsia"/>
        </w:rPr>
        <w:t>.</w:t>
      </w:r>
      <w:r>
        <w:t>如</w:t>
      </w:r>
      <w:r>
        <w:rPr>
          <w:rFonts w:hint="eastAsia"/>
        </w:rPr>
        <w:t>乙</w:t>
      </w:r>
      <w:r>
        <w:t>方供货中选药品为首营品种药品的，</w:t>
      </w:r>
      <w:r>
        <w:rPr>
          <w:rFonts w:hint="eastAsia"/>
        </w:rPr>
        <w:t>乙</w:t>
      </w:r>
      <w:r>
        <w:t>方有责任在交货前向</w:t>
      </w:r>
      <w:r>
        <w:rPr>
          <w:rFonts w:hint="eastAsia"/>
        </w:rPr>
        <w:t>丙</w:t>
      </w:r>
      <w:r>
        <w:t>方提供完整、准确的药品首营资料。</w:t>
      </w:r>
    </w:p>
    <w:p>
      <w:pPr>
        <w:numPr>
          <w:ilvl w:val="255"/>
          <w:numId w:val="0"/>
        </w:numPr>
        <w:spacing w:line="360" w:lineRule="auto"/>
        <w:ind w:firstLine="440" w:firstLineChars="200"/>
      </w:pPr>
      <w:r>
        <w:rPr>
          <w:rFonts w:hint="eastAsia"/>
          <w:lang w:val="en-US"/>
        </w:rPr>
        <w:t>8</w:t>
      </w:r>
      <w:r>
        <w:rPr>
          <w:rFonts w:hint="eastAsia"/>
        </w:rPr>
        <w:t>.丙</w:t>
      </w:r>
      <w:r>
        <w:t>方配送到甲方的药品，剩余有效期不得少于</w:t>
      </w:r>
      <w:r>
        <w:rPr>
          <w:rFonts w:hint="eastAsia"/>
          <w:lang w:val="en-US"/>
        </w:rPr>
        <w:t>6</w:t>
      </w:r>
      <w:r>
        <w:t>个月。</w:t>
      </w:r>
      <w:r>
        <w:rPr>
          <w:rFonts w:hint="eastAsia"/>
        </w:rPr>
        <w:t>丙</w:t>
      </w:r>
      <w:r>
        <w:t>方可以拒收</w:t>
      </w:r>
      <w:r>
        <w:rPr>
          <w:rFonts w:hint="eastAsia"/>
        </w:rPr>
        <w:t>乙</w:t>
      </w:r>
      <w:r>
        <w:t>方超出订货协议数量的货物。特殊品种甲、乙、丙三方另行协商。</w:t>
      </w:r>
    </w:p>
    <w:p>
      <w:pPr>
        <w:numPr>
          <w:ilvl w:val="255"/>
          <w:numId w:val="0"/>
        </w:numPr>
        <w:spacing w:line="360" w:lineRule="auto"/>
        <w:ind w:left="20" w:hanging="10"/>
      </w:pPr>
    </w:p>
    <w:p>
      <w:pPr>
        <w:spacing w:line="360" w:lineRule="auto"/>
        <w:ind w:left="213" w:leftChars="97" w:firstLine="210" w:firstLineChars="95"/>
        <w:rPr>
          <w:b/>
          <w:bCs/>
        </w:rPr>
      </w:pPr>
      <w:r>
        <w:rPr>
          <w:rFonts w:hint="eastAsia"/>
          <w:b/>
          <w:bCs/>
        </w:rPr>
        <w:t>第六条 订货与运送交付</w:t>
      </w:r>
    </w:p>
    <w:p>
      <w:pPr>
        <w:numPr>
          <w:ilvl w:val="255"/>
          <w:numId w:val="0"/>
        </w:numPr>
        <w:spacing w:line="360" w:lineRule="auto"/>
        <w:ind w:firstLine="440" w:firstLineChars="200"/>
      </w:pPr>
      <w:r>
        <w:rPr>
          <w:rFonts w:hint="eastAsia"/>
        </w:rPr>
        <w:t>1.本合同签订后，乙方应按约定采购量组织生产，保证按本合同约定及时足量供应中选药品。</w:t>
      </w:r>
    </w:p>
    <w:p>
      <w:pPr>
        <w:spacing w:line="360" w:lineRule="auto"/>
        <w:ind w:firstLine="440" w:firstLineChars="200"/>
      </w:pPr>
      <w:r>
        <w:rPr>
          <w:rFonts w:hint="eastAsia"/>
        </w:rPr>
        <w:t>2.甲方在乙方、丙方无违约行为的前提下，必须足量采购本合同附件所列的中选药品，确保在合同有效期内完成约定采购量。</w:t>
      </w:r>
    </w:p>
    <w:p>
      <w:pPr>
        <w:spacing w:line="360" w:lineRule="auto"/>
        <w:ind w:firstLine="440" w:firstLineChars="200"/>
      </w:pPr>
      <w:r>
        <w:rPr>
          <w:rFonts w:hint="eastAsia"/>
        </w:rPr>
        <w:t>3.乙方保证中选药品包装符合《中华人民共和国药品管理法》及国家各级药品监督管理机构颁布的法规规章及货物运输要求。</w:t>
      </w:r>
    </w:p>
    <w:p>
      <w:pPr>
        <w:spacing w:line="360" w:lineRule="auto"/>
        <w:ind w:firstLine="440" w:firstLineChars="200"/>
      </w:pPr>
      <w:r>
        <w:rPr>
          <w:rFonts w:hint="eastAsia"/>
        </w:rPr>
        <w:t>4.丙方保证以符合 GSP 规范及中选药品特性的物流配送方式进行运输，并就运输过程中因包装或运输不善、</w:t>
      </w:r>
      <w:r>
        <w:t>配送迟延</w:t>
      </w:r>
      <w:r>
        <w:rPr>
          <w:rFonts w:hint="eastAsia"/>
        </w:rPr>
        <w:t>等原因导致中选药品损坏、变质、</w:t>
      </w:r>
      <w:r>
        <w:t>短缺</w:t>
      </w:r>
      <w:r>
        <w:rPr>
          <w:rFonts w:hint="eastAsia"/>
        </w:rPr>
        <w:t>或</w:t>
      </w:r>
      <w:r>
        <w:t>剩余有效期不符</w:t>
      </w:r>
      <w:r>
        <w:rPr>
          <w:rFonts w:hint="eastAsia"/>
        </w:rPr>
        <w:t>等承担全部责任。</w:t>
      </w:r>
    </w:p>
    <w:p>
      <w:pPr>
        <w:spacing w:line="360" w:lineRule="auto"/>
        <w:ind w:firstLine="440" w:firstLineChars="200"/>
      </w:pPr>
      <w:bookmarkStart w:id="59" w:name="_Hlk48139721"/>
      <w:r>
        <w:t>5</w:t>
      </w:r>
      <w:r>
        <w:rPr>
          <w:rFonts w:hint="eastAsia"/>
        </w:rPr>
        <w:t>.乙</w:t>
      </w:r>
      <w:r>
        <w:t>方应按乙、丙双方约定的运输方式、期限和交货地点向</w:t>
      </w:r>
      <w:r>
        <w:rPr>
          <w:rFonts w:hint="eastAsia"/>
        </w:rPr>
        <w:t>丙</w:t>
      </w:r>
      <w:r>
        <w:t>方交付产品。</w:t>
      </w:r>
    </w:p>
    <w:p>
      <w:pPr>
        <w:spacing w:line="360" w:lineRule="auto"/>
        <w:ind w:firstLine="440" w:firstLineChars="200"/>
      </w:pPr>
      <w:r>
        <w:t>6</w:t>
      </w:r>
      <w:r>
        <w:rPr>
          <w:rFonts w:hint="eastAsia"/>
        </w:rPr>
        <w:t>.</w:t>
      </w:r>
      <w:r>
        <w:t>乙、丙双方确认供货事项后，</w:t>
      </w:r>
      <w:r>
        <w:rPr>
          <w:rFonts w:hint="eastAsia"/>
        </w:rPr>
        <w:t>乙</w:t>
      </w:r>
      <w:r>
        <w:t>方如期供货但供货中选药品种类不符或有短缺，</w:t>
      </w:r>
      <w:r>
        <w:rPr>
          <w:rFonts w:hint="eastAsia"/>
        </w:rPr>
        <w:t>丙</w:t>
      </w:r>
      <w:r>
        <w:t>方有权拒收。</w:t>
      </w:r>
    </w:p>
    <w:p>
      <w:pPr>
        <w:spacing w:line="360" w:lineRule="auto"/>
        <w:ind w:firstLine="440" w:firstLineChars="200"/>
      </w:pPr>
      <w:r>
        <w:t>7</w:t>
      </w:r>
      <w:r>
        <w:rPr>
          <w:rFonts w:hint="eastAsia"/>
        </w:rPr>
        <w:t>.</w:t>
      </w:r>
      <w:r>
        <w:t>丙方可委托第三方物流将中选药品托运至</w:t>
      </w:r>
      <w:r>
        <w:rPr>
          <w:rFonts w:hint="eastAsia"/>
          <w:lang w:val="en-US"/>
        </w:rPr>
        <w:t>甲</w:t>
      </w:r>
      <w:r>
        <w:t>方指定的收货地点，在此种情况下运输中发生的一切费用，包括但不限于中转费、运输费、保险费及卸货费等均由丙方承担。</w:t>
      </w:r>
    </w:p>
    <w:p>
      <w:pPr>
        <w:spacing w:line="360" w:lineRule="auto"/>
        <w:ind w:firstLine="440" w:firstLineChars="200"/>
      </w:pPr>
      <w:r>
        <w:rPr>
          <w:rFonts w:hint="eastAsia"/>
        </w:rPr>
        <w:t>8.</w:t>
      </w:r>
      <w:r>
        <w:t>中选药品到达</w:t>
      </w:r>
      <w:r>
        <w:rPr>
          <w:rFonts w:hint="eastAsia"/>
        </w:rPr>
        <w:t>丙</w:t>
      </w:r>
      <w:r>
        <w:t>方仓库或</w:t>
      </w:r>
      <w:r>
        <w:rPr>
          <w:rFonts w:hint="eastAsia"/>
        </w:rPr>
        <w:t>丙</w:t>
      </w:r>
      <w:r>
        <w:t>方收货地点交付之前的风险由</w:t>
      </w:r>
      <w:r>
        <w:rPr>
          <w:rFonts w:hint="eastAsia"/>
        </w:rPr>
        <w:t>乙</w:t>
      </w:r>
      <w:r>
        <w:t>方承担，到达目的地经验收交付后的风险由</w:t>
      </w:r>
      <w:r>
        <w:rPr>
          <w:rFonts w:hint="eastAsia"/>
        </w:rPr>
        <w:t>丙</w:t>
      </w:r>
      <w:r>
        <w:t>方承担。</w:t>
      </w:r>
    </w:p>
    <w:bookmarkEnd w:id="59"/>
    <w:p>
      <w:pPr>
        <w:spacing w:line="360" w:lineRule="auto"/>
        <w:ind w:firstLine="440" w:firstLineChars="200"/>
      </w:pPr>
      <w:r>
        <w:rPr>
          <w:rFonts w:hint="eastAsia"/>
        </w:rPr>
        <w:t>9.甲方通过交易平台发送的订单，丙方应在12小时内响应，24小时内配送到位，最长不超过48小时；偏远地区可适当放宽配送到位时间，原则上72小时内必须配送到位。</w:t>
      </w:r>
    </w:p>
    <w:p>
      <w:pPr>
        <w:numPr>
          <w:ilvl w:val="255"/>
          <w:numId w:val="0"/>
        </w:numPr>
        <w:spacing w:line="360" w:lineRule="auto"/>
        <w:ind w:firstLine="440" w:firstLineChars="200"/>
      </w:pPr>
      <w:r>
        <w:rPr>
          <w:rFonts w:hint="eastAsia"/>
        </w:rPr>
        <w:t>10.丙方配送中选药品的品种、剂型、数量等必须严格按照甲方发送的订单执行，同时应提供同批号药品的检验报告书。</w:t>
      </w:r>
    </w:p>
    <w:p>
      <w:pPr>
        <w:numPr>
          <w:ilvl w:val="255"/>
          <w:numId w:val="0"/>
        </w:numPr>
        <w:spacing w:line="360" w:lineRule="auto"/>
        <w:ind w:firstLine="440" w:firstLineChars="200"/>
      </w:pPr>
      <w:r>
        <w:rPr>
          <w:rFonts w:hint="eastAsia"/>
        </w:rPr>
        <w:t>11.乙方为中选药品质量与供应的第一责任人，对丙方的配送供货行为负责，并承担连带责任。</w:t>
      </w:r>
    </w:p>
    <w:p>
      <w:pPr>
        <w:numPr>
          <w:ilvl w:val="255"/>
          <w:numId w:val="0"/>
        </w:numPr>
        <w:spacing w:line="360" w:lineRule="auto"/>
        <w:ind w:firstLine="440" w:firstLineChars="200"/>
      </w:pPr>
      <w:bookmarkStart w:id="60" w:name="_Hlk48139743"/>
      <w:r>
        <w:rPr>
          <w:rFonts w:hint="eastAsia"/>
        </w:rPr>
        <w:t>12</w:t>
      </w:r>
      <w:r>
        <w:t>.除非对包装另有规定，</w:t>
      </w:r>
      <w:r>
        <w:rPr>
          <w:rFonts w:hint="eastAsia"/>
        </w:rPr>
        <w:t>丙</w:t>
      </w:r>
      <w:r>
        <w:t>方配送的全部药品必须按标准保护措施进行包装，以防止药品在转运中损坏或变质，确保药品安全无损运抵指定现场，否则其所造成的一切损失均由乙、丙双方协商负责。</w:t>
      </w:r>
    </w:p>
    <w:p>
      <w:pPr>
        <w:numPr>
          <w:ilvl w:val="255"/>
          <w:numId w:val="0"/>
        </w:numPr>
        <w:spacing w:line="360" w:lineRule="auto"/>
        <w:ind w:firstLine="440" w:firstLineChars="200"/>
      </w:pPr>
      <w:r>
        <w:t>1</w:t>
      </w:r>
      <w:r>
        <w:rPr>
          <w:rFonts w:hint="eastAsia"/>
        </w:rPr>
        <w:t>3</w:t>
      </w:r>
      <w:r>
        <w:t>.每一个包装箱内必须附一份详细装箱单。包装、标记和包装箱内外的单据应符合协议的特殊要求，包括甲方后来提出的特殊要</w:t>
      </w:r>
      <w:r>
        <w:rPr>
          <w:rFonts w:hint="eastAsia"/>
        </w:rPr>
        <w:t>求。</w:t>
      </w:r>
    </w:p>
    <w:bookmarkEnd w:id="60"/>
    <w:p>
      <w:pPr>
        <w:spacing w:line="360" w:lineRule="auto"/>
        <w:ind w:left="10"/>
      </w:pPr>
      <w:r>
        <w:rPr>
          <w:rFonts w:hint="eastAsia"/>
        </w:rPr>
        <w:t xml:space="preserve"> </w:t>
      </w:r>
    </w:p>
    <w:p>
      <w:pPr>
        <w:spacing w:line="360" w:lineRule="auto"/>
        <w:ind w:left="213" w:leftChars="97" w:firstLine="210" w:firstLineChars="95"/>
        <w:rPr>
          <w:b/>
          <w:bCs/>
        </w:rPr>
      </w:pPr>
      <w:r>
        <w:rPr>
          <w:rFonts w:hint="eastAsia"/>
          <w:b/>
          <w:bCs/>
        </w:rPr>
        <w:t>第七条 药品验收</w:t>
      </w:r>
    </w:p>
    <w:p>
      <w:pPr>
        <w:numPr>
          <w:ilvl w:val="255"/>
          <w:numId w:val="0"/>
        </w:numPr>
        <w:spacing w:line="360" w:lineRule="auto"/>
        <w:ind w:firstLine="440" w:firstLineChars="200"/>
      </w:pPr>
      <w:bookmarkStart w:id="61" w:name="_Hlk48139856"/>
      <w:r>
        <w:t>1.中选药品交付时，</w:t>
      </w:r>
      <w:r>
        <w:rPr>
          <w:rFonts w:hint="eastAsia"/>
        </w:rPr>
        <w:t>乙</w:t>
      </w:r>
      <w:r>
        <w:t>方应货票同行，并严格按照法定的运输管理要求及药品储存、包装标准等将中选药品按时发运给</w:t>
      </w:r>
      <w:r>
        <w:rPr>
          <w:rFonts w:hint="eastAsia"/>
        </w:rPr>
        <w:t>丙</w:t>
      </w:r>
      <w:r>
        <w:t>方，</w:t>
      </w:r>
      <w:r>
        <w:rPr>
          <w:rFonts w:hint="eastAsia"/>
        </w:rPr>
        <w:t>丙</w:t>
      </w:r>
      <w:r>
        <w:t>方收到</w:t>
      </w:r>
      <w:r>
        <w:rPr>
          <w:rFonts w:hint="eastAsia"/>
        </w:rPr>
        <w:t>乙</w:t>
      </w:r>
      <w:r>
        <w:t>方供货的中选药品时，应当场清点产品的整体整箱外包装（即大件包装）是否完好牢固，</w:t>
      </w:r>
      <w:r>
        <w:rPr>
          <w:rFonts w:hint="eastAsia"/>
        </w:rPr>
        <w:t>乙</w:t>
      </w:r>
      <w:r>
        <w:t>方应派人协助</w:t>
      </w:r>
      <w:r>
        <w:rPr>
          <w:rFonts w:hint="eastAsia"/>
        </w:rPr>
        <w:t>丙</w:t>
      </w:r>
      <w:r>
        <w:t>方验收。</w:t>
      </w:r>
      <w:r>
        <w:rPr>
          <w:rFonts w:hint="eastAsia"/>
        </w:rPr>
        <w:t>乙</w:t>
      </w:r>
      <w:r>
        <w:t>方未派人协助</w:t>
      </w:r>
      <w:r>
        <w:rPr>
          <w:rFonts w:hint="eastAsia"/>
        </w:rPr>
        <w:t>丙</w:t>
      </w:r>
      <w:r>
        <w:t>方验收，视为</w:t>
      </w:r>
      <w:r>
        <w:rPr>
          <w:rFonts w:hint="eastAsia"/>
        </w:rPr>
        <w:t>乙</w:t>
      </w:r>
      <w:r>
        <w:t>方确认</w:t>
      </w:r>
      <w:r>
        <w:rPr>
          <w:rFonts w:hint="eastAsia"/>
        </w:rPr>
        <w:t>丙</w:t>
      </w:r>
      <w:r>
        <w:t>方可独立验收。</w:t>
      </w:r>
      <w:r>
        <w:rPr>
          <w:rFonts w:hint="eastAsia"/>
        </w:rPr>
        <w:t>丙</w:t>
      </w:r>
      <w:r>
        <w:t>方在接收产品时，发现短少、破损、污染、异形等情形，或有其他不符合法律法规规定的情形，有权拒绝接收，</w:t>
      </w:r>
      <w:r>
        <w:rPr>
          <w:rFonts w:hint="eastAsia"/>
        </w:rPr>
        <w:t>乙</w:t>
      </w:r>
      <w:r>
        <w:t>方应及时更换被拒绝的中选药品，并承担由此对</w:t>
      </w:r>
      <w:r>
        <w:rPr>
          <w:rFonts w:hint="eastAsia"/>
        </w:rPr>
        <w:t>丙</w:t>
      </w:r>
      <w:r>
        <w:t>方造成的损失。</w:t>
      </w:r>
    </w:p>
    <w:p>
      <w:pPr>
        <w:numPr>
          <w:ilvl w:val="255"/>
          <w:numId w:val="0"/>
        </w:numPr>
        <w:spacing w:line="360" w:lineRule="auto"/>
        <w:ind w:firstLine="440" w:firstLineChars="200"/>
      </w:pPr>
      <w:r>
        <w:t>2.中选药品入</w:t>
      </w:r>
      <w:r>
        <w:rPr>
          <w:rFonts w:hint="eastAsia"/>
        </w:rPr>
        <w:t>丙</w:t>
      </w:r>
      <w:r>
        <w:t>方库后，</w:t>
      </w:r>
      <w:r>
        <w:rPr>
          <w:rFonts w:hint="eastAsia"/>
        </w:rPr>
        <w:t>丙</w:t>
      </w:r>
      <w:r>
        <w:t>方发现其中中小包装短少、破损、污染、异形等情形，或有其他不符合法律法规规定的情形，</w:t>
      </w:r>
      <w:r>
        <w:rPr>
          <w:rFonts w:hint="eastAsia"/>
        </w:rPr>
        <w:t>丙</w:t>
      </w:r>
      <w:r>
        <w:t>方应当及时通知</w:t>
      </w:r>
      <w:r>
        <w:rPr>
          <w:rFonts w:hint="eastAsia"/>
        </w:rPr>
        <w:t>乙</w:t>
      </w:r>
      <w:r>
        <w:t>方（并附情况说明及补货、退货或换货的书面要求现场照片）。</w:t>
      </w:r>
      <w:r>
        <w:rPr>
          <w:rFonts w:hint="eastAsia"/>
        </w:rPr>
        <w:t>乙</w:t>
      </w:r>
      <w:r>
        <w:t>方在接到</w:t>
      </w:r>
      <w:r>
        <w:rPr>
          <w:rFonts w:hint="eastAsia"/>
        </w:rPr>
        <w:t>丙</w:t>
      </w:r>
      <w:r>
        <w:t>方书面要求后的 15 日内应当按</w:t>
      </w:r>
      <w:r>
        <w:rPr>
          <w:rFonts w:hint="eastAsia"/>
        </w:rPr>
        <w:t>丙</w:t>
      </w:r>
      <w:r>
        <w:t>方的要求补货、退货或换货，由此产生的一切风险和费用由</w:t>
      </w:r>
      <w:r>
        <w:rPr>
          <w:rFonts w:hint="eastAsia"/>
        </w:rPr>
        <w:t>乙</w:t>
      </w:r>
      <w:r>
        <w:t>方承担。</w:t>
      </w:r>
      <w:r>
        <w:rPr>
          <w:rFonts w:hint="eastAsia"/>
        </w:rPr>
        <w:t>丙</w:t>
      </w:r>
      <w:r>
        <w:t>方发现同一批供货中的中小包装短少、破损、污染、异形等情况超过总量的 5%的，有权要求</w:t>
      </w:r>
      <w:r>
        <w:rPr>
          <w:rFonts w:hint="eastAsia"/>
        </w:rPr>
        <w:t>乙</w:t>
      </w:r>
      <w:r>
        <w:t>方就该批供货整体退货或换货。</w:t>
      </w:r>
    </w:p>
    <w:p>
      <w:pPr>
        <w:numPr>
          <w:ilvl w:val="255"/>
          <w:numId w:val="0"/>
        </w:numPr>
        <w:spacing w:line="360" w:lineRule="auto"/>
        <w:ind w:firstLine="440" w:firstLineChars="200"/>
      </w:pPr>
      <w:r>
        <w:t>3.即使</w:t>
      </w:r>
      <w:r>
        <w:rPr>
          <w:rFonts w:hint="eastAsia"/>
        </w:rPr>
        <w:t>乙</w:t>
      </w:r>
      <w:r>
        <w:t>方的中选药品通过了</w:t>
      </w:r>
      <w:r>
        <w:rPr>
          <w:rFonts w:hint="eastAsia"/>
        </w:rPr>
        <w:t>丙</w:t>
      </w:r>
      <w:r>
        <w:t>方的验收，仍不能排除</w:t>
      </w:r>
      <w:r>
        <w:rPr>
          <w:rFonts w:hint="eastAsia"/>
        </w:rPr>
        <w:t>乙</w:t>
      </w:r>
      <w:r>
        <w:t>方供货中选药品存在质量缺陷的可能。在发生药品质量纠纷时，</w:t>
      </w:r>
      <w:r>
        <w:rPr>
          <w:rFonts w:hint="eastAsia"/>
        </w:rPr>
        <w:t>乙</w:t>
      </w:r>
      <w:r>
        <w:t>方不能以“已通过验收”作为中选药品不存在安全、质量瑕疵的抗辩理由。</w:t>
      </w:r>
    </w:p>
    <w:p>
      <w:pPr>
        <w:numPr>
          <w:ilvl w:val="255"/>
          <w:numId w:val="0"/>
        </w:numPr>
        <w:spacing w:line="360" w:lineRule="auto"/>
        <w:ind w:firstLine="440" w:firstLineChars="200"/>
      </w:pPr>
      <w:r>
        <w:rPr>
          <w:rFonts w:hint="eastAsia"/>
        </w:rPr>
        <w:t>4.丙方应当在配送中选药品予甲方的同时，在交易系统按要求进行相应的操作及上传相应的文件如出库单、发票等；自丙方在系统操作确认发货之时起，甲方须在验收药品合格后的七个工作日内在交易系统进行收货确认，甲方未在上述时段内确认收货的，系统将自动确认收货。</w:t>
      </w:r>
    </w:p>
    <w:bookmarkEnd w:id="61"/>
    <w:p>
      <w:pPr>
        <w:spacing w:line="360" w:lineRule="auto"/>
        <w:ind w:left="213" w:leftChars="97" w:firstLine="210" w:firstLineChars="95"/>
        <w:rPr>
          <w:b/>
          <w:bCs/>
        </w:rPr>
      </w:pPr>
    </w:p>
    <w:p>
      <w:pPr>
        <w:spacing w:line="360" w:lineRule="auto"/>
        <w:ind w:left="213" w:leftChars="97" w:firstLine="210" w:firstLineChars="95"/>
        <w:rPr>
          <w:b/>
          <w:bCs/>
        </w:rPr>
      </w:pPr>
      <w:r>
        <w:rPr>
          <w:rFonts w:hint="eastAsia"/>
          <w:b/>
          <w:bCs/>
        </w:rPr>
        <w:t>第八条 中选药品的规定</w:t>
      </w:r>
    </w:p>
    <w:p>
      <w:pPr>
        <w:numPr>
          <w:ilvl w:val="255"/>
          <w:numId w:val="0"/>
        </w:numPr>
        <w:spacing w:line="360" w:lineRule="auto"/>
        <w:ind w:firstLine="440" w:firstLineChars="200"/>
      </w:pPr>
      <w:r>
        <w:rPr>
          <w:rFonts w:hint="eastAsia"/>
        </w:rPr>
        <w:t>1.甲方根据带量购销合同约定，在合同期内完成合同用量。</w:t>
      </w:r>
    </w:p>
    <w:p>
      <w:pPr>
        <w:numPr>
          <w:ilvl w:val="255"/>
          <w:numId w:val="0"/>
        </w:numPr>
        <w:spacing w:line="360" w:lineRule="auto"/>
        <w:ind w:firstLine="440" w:firstLineChars="200"/>
      </w:pPr>
      <w:r>
        <w:rPr>
          <w:rFonts w:hint="eastAsia"/>
        </w:rPr>
        <w:t>2.甲方若在合同期内提前</w:t>
      </w:r>
      <w:r>
        <w:t>超额</w:t>
      </w:r>
      <w:r>
        <w:rPr>
          <w:rFonts w:hint="eastAsia"/>
        </w:rPr>
        <w:t>完成约定采购量的，超过部分</w:t>
      </w:r>
      <w:r>
        <w:t>由甲</w:t>
      </w:r>
      <w:r>
        <w:rPr>
          <w:rFonts w:hint="eastAsia"/>
        </w:rPr>
        <w:t>、</w:t>
      </w:r>
      <w:r>
        <w:t>乙</w:t>
      </w:r>
      <w:r>
        <w:rPr>
          <w:rFonts w:hint="eastAsia"/>
        </w:rPr>
        <w:t>、</w:t>
      </w:r>
      <w:r>
        <w:t>丙三方</w:t>
      </w:r>
      <w:r>
        <w:rPr>
          <w:rFonts w:hint="eastAsia"/>
        </w:rPr>
        <w:t>另行协商解决。</w:t>
      </w:r>
    </w:p>
    <w:p>
      <w:pPr>
        <w:spacing w:line="360" w:lineRule="auto"/>
        <w:ind w:firstLine="440" w:firstLineChars="200"/>
      </w:pPr>
      <w:r>
        <w:rPr>
          <w:rFonts w:hint="eastAsia"/>
          <w:lang w:val="en-US"/>
        </w:rPr>
        <w:t>3</w:t>
      </w:r>
      <w:r>
        <w:rPr>
          <w:rFonts w:hint="eastAsia"/>
        </w:rPr>
        <w:t>.甲方主动向社会公开</w:t>
      </w:r>
      <w:r>
        <w:t>头孢氨苄联盟带量采购</w:t>
      </w:r>
      <w:r>
        <w:rPr>
          <w:rFonts w:hint="eastAsia"/>
        </w:rPr>
        <w:t>中选药品的购进价格和销售价格信息。</w:t>
      </w:r>
    </w:p>
    <w:p>
      <w:pPr>
        <w:ind w:firstLine="440" w:firstLineChars="200"/>
      </w:pPr>
    </w:p>
    <w:p>
      <w:pPr>
        <w:spacing w:line="360" w:lineRule="auto"/>
        <w:ind w:left="213" w:leftChars="97" w:firstLine="210" w:firstLineChars="95"/>
        <w:rPr>
          <w:b/>
          <w:bCs/>
        </w:rPr>
      </w:pPr>
      <w:r>
        <w:rPr>
          <w:rFonts w:hint="eastAsia"/>
          <w:b/>
          <w:bCs/>
        </w:rPr>
        <w:t>第九条 货款结算</w:t>
      </w:r>
    </w:p>
    <w:p>
      <w:pPr>
        <w:numPr>
          <w:ilvl w:val="255"/>
          <w:numId w:val="0"/>
        </w:numPr>
        <w:spacing w:line="360" w:lineRule="auto"/>
        <w:ind w:firstLine="440" w:firstLineChars="200"/>
      </w:pPr>
      <w:r>
        <w:rPr>
          <w:rFonts w:hint="eastAsia"/>
        </w:rPr>
        <w:t>1.采购价格：按本合同附件之中选药品采购明细表中载明的中选价格执行，该价格包含成本、运输、包装、伴随服务、税费及其他一切附加费用。</w:t>
      </w:r>
    </w:p>
    <w:p>
      <w:pPr>
        <w:pStyle w:val="6"/>
        <w:spacing w:after="0" w:line="360" w:lineRule="auto"/>
        <w:ind w:left="0" w:firstLine="480" w:firstLineChars="200"/>
        <w:rPr>
          <w:rFonts w:ascii="仿宋" w:hAnsi="仿宋" w:eastAsia="仿宋" w:cs="仿宋"/>
          <w:color w:val="auto"/>
        </w:rPr>
      </w:pPr>
      <w:r>
        <w:rPr>
          <w:rFonts w:hint="eastAsia" w:ascii="仿宋" w:hAnsi="仿宋" w:eastAsia="仿宋" w:cs="仿宋"/>
          <w:color w:val="auto"/>
        </w:rPr>
        <w:t>2.发票开具：丙方应对中选药品开具发票和清单，随货同行将合法发票送达甲方。甲方接收丙方配送的中选药品后，应在收到合法发票后按规定通过交易平台进行发票交付确认。</w:t>
      </w:r>
    </w:p>
    <w:p>
      <w:pPr>
        <w:pStyle w:val="6"/>
        <w:spacing w:after="0" w:line="360" w:lineRule="auto"/>
        <w:ind w:left="0" w:firstLine="480" w:firstLineChars="200"/>
        <w:rPr>
          <w:rFonts w:ascii="仿宋" w:hAnsi="仿宋" w:eastAsia="仿宋" w:cs="仿宋"/>
          <w:color w:val="auto"/>
        </w:rPr>
      </w:pPr>
      <w:r>
        <w:rPr>
          <w:rFonts w:hint="eastAsia" w:ascii="仿宋" w:hAnsi="仿宋" w:eastAsia="仿宋" w:cs="仿宋"/>
          <w:color w:val="auto"/>
        </w:rPr>
        <w:t>3.结算时间：甲方为货款结算第一责任人，应按合同规定与丙方及时结算，从收货验收合格起30日内通过交易平台向丙方支付全部货款。</w:t>
      </w:r>
    </w:p>
    <w:p>
      <w:pPr>
        <w:numPr>
          <w:ilvl w:val="255"/>
          <w:numId w:val="0"/>
        </w:numPr>
        <w:spacing w:line="360" w:lineRule="auto"/>
        <w:ind w:left="20" w:firstLine="440" w:firstLineChars="200"/>
      </w:pPr>
      <w:r>
        <w:rPr>
          <w:rFonts w:hint="eastAsia"/>
          <w:lang w:val="en-US"/>
        </w:rPr>
        <w:t>4.交易平台</w:t>
      </w:r>
      <w:r>
        <w:rPr>
          <w:rFonts w:hint="eastAsia"/>
        </w:rPr>
        <w:t>在当期应付货款到期</w:t>
      </w:r>
      <w:r>
        <w:rPr>
          <w:rFonts w:hint="eastAsia"/>
          <w:lang w:val="en-US"/>
        </w:rPr>
        <w:t>前7日</w:t>
      </w:r>
      <w:r>
        <w:rPr>
          <w:rFonts w:hint="eastAsia"/>
        </w:rPr>
        <w:t>对</w:t>
      </w:r>
      <w:r>
        <w:rPr>
          <w:rFonts w:hint="eastAsia"/>
          <w:lang w:val="en-US"/>
        </w:rPr>
        <w:t>甲方</w:t>
      </w:r>
      <w:r>
        <w:rPr>
          <w:rFonts w:hint="eastAsia"/>
        </w:rPr>
        <w:t>发出缴</w:t>
      </w:r>
      <w:r>
        <w:rPr>
          <w:rFonts w:hint="eastAsia"/>
          <w:lang w:val="en-US"/>
        </w:rPr>
        <w:t>款提醒</w:t>
      </w:r>
      <w:r>
        <w:rPr>
          <w:rFonts w:hint="eastAsia"/>
        </w:rPr>
        <w:t>通知，</w:t>
      </w:r>
      <w:r>
        <w:t>告知</w:t>
      </w:r>
      <w:r>
        <w:rPr>
          <w:rFonts w:hint="eastAsia"/>
        </w:rPr>
        <w:t>其应付</w:t>
      </w:r>
      <w:r>
        <w:t>货款的</w:t>
      </w:r>
      <w:r>
        <w:rPr>
          <w:rFonts w:hint="eastAsia"/>
        </w:rPr>
        <w:t>最后支付</w:t>
      </w:r>
      <w:r>
        <w:t>时间</w:t>
      </w:r>
      <w:r>
        <w:rPr>
          <w:rFonts w:hint="eastAsia"/>
        </w:rPr>
        <w:t>。</w:t>
      </w:r>
    </w:p>
    <w:p>
      <w:pPr>
        <w:numPr>
          <w:ilvl w:val="255"/>
          <w:numId w:val="0"/>
        </w:numPr>
        <w:spacing w:line="360" w:lineRule="auto"/>
      </w:pPr>
    </w:p>
    <w:p>
      <w:pPr>
        <w:spacing w:line="360" w:lineRule="auto"/>
        <w:ind w:left="229" w:leftChars="104" w:firstLine="210" w:firstLineChars="95"/>
        <w:rPr>
          <w:b/>
          <w:bCs/>
        </w:rPr>
      </w:pPr>
      <w:r>
        <w:rPr>
          <w:rFonts w:hint="eastAsia"/>
          <w:b/>
          <w:bCs/>
        </w:rPr>
        <w:t>第十条 退换货及召回</w:t>
      </w:r>
    </w:p>
    <w:p>
      <w:pPr>
        <w:spacing w:line="360" w:lineRule="auto"/>
        <w:ind w:firstLine="440" w:firstLineChars="200"/>
      </w:pPr>
      <w:r>
        <w:rPr>
          <w:rFonts w:hint="eastAsia"/>
        </w:rPr>
        <w:t>1.若因中选药品的质量问题，损坏或变质发生甲方退货的情况，乙方应无条件退换货并承担由此产生的一切费用，所导致的所有纠纷及赔偿由乙方承担责任。乙方承诺补偿甲方由此造成的所有损失。</w:t>
      </w:r>
    </w:p>
    <w:p>
      <w:pPr>
        <w:spacing w:line="360" w:lineRule="auto"/>
        <w:ind w:firstLine="480" w:firstLineChars="200"/>
      </w:pPr>
      <w:r>
        <w:rPr>
          <w:rFonts w:hint="eastAsia"/>
          <w:color w:val="000000"/>
          <w:sz w:val="24"/>
          <w:lang w:val="en-US"/>
        </w:rPr>
        <w:t>2.</w:t>
      </w:r>
      <w:r>
        <w:rPr>
          <w:rFonts w:hint="eastAsia"/>
          <w:color w:val="000000"/>
          <w:sz w:val="24"/>
        </w:rPr>
        <w:t>乙方供货符合质量验收的标准。甲方收货的当天，中选药品的剩余有效期不足6个月，甲方收货后的5个工作日内有权要求作出退货或换货的处理，</w:t>
      </w:r>
      <w:r>
        <w:rPr>
          <w:rFonts w:hint="eastAsia"/>
          <w:color w:val="000000"/>
          <w:sz w:val="24"/>
          <w:lang w:val="en-US"/>
        </w:rPr>
        <w:t>向丙方或</w:t>
      </w:r>
      <w:r>
        <w:rPr>
          <w:rFonts w:hint="eastAsia"/>
          <w:color w:val="000000"/>
          <w:sz w:val="24"/>
        </w:rPr>
        <w:t>通过丙方向乙方行使此项权利。</w:t>
      </w:r>
    </w:p>
    <w:p>
      <w:pPr>
        <w:spacing w:line="360" w:lineRule="auto"/>
        <w:ind w:firstLine="480" w:firstLineChars="200"/>
      </w:pPr>
      <w:r>
        <w:rPr>
          <w:rFonts w:hint="eastAsia"/>
          <w:color w:val="000000"/>
          <w:sz w:val="24"/>
          <w:lang w:val="en-US"/>
        </w:rPr>
        <w:t>3.</w:t>
      </w:r>
      <w:r>
        <w:rPr>
          <w:rFonts w:hint="eastAsia"/>
          <w:color w:val="000000"/>
          <w:sz w:val="24"/>
        </w:rPr>
        <w:t xml:space="preserve">对由于不动销或滞销而出现的近效期中选药品，甲方可向丙方或通过丙方向乙方就未销售的中选药品进行协商处理。 </w:t>
      </w:r>
    </w:p>
    <w:p>
      <w:pPr>
        <w:spacing w:line="360" w:lineRule="auto"/>
        <w:ind w:firstLine="440" w:firstLineChars="200"/>
      </w:pPr>
      <w:r>
        <w:rPr>
          <w:rFonts w:hint="eastAsia"/>
          <w:lang w:val="en-US"/>
        </w:rPr>
        <w:t>4</w:t>
      </w:r>
      <w:r>
        <w:rPr>
          <w:rFonts w:hint="eastAsia"/>
        </w:rPr>
        <w:t>.经甲、丙双方合同约定或协商，在发生甲方退货情形时，由于退货产生的退货货款，甲方已经支付货款的，甲方可以要求丙方即时向其归还该款，也可将此货款冲抵下一次供货产生的货款；甲方尚未支付退货货款的，甲方不承担继续支付的责任。</w:t>
      </w:r>
    </w:p>
    <w:p>
      <w:pPr>
        <w:spacing w:line="360" w:lineRule="auto"/>
        <w:ind w:firstLine="440" w:firstLineChars="200"/>
      </w:pPr>
      <w:r>
        <w:rPr>
          <w:rFonts w:hint="eastAsia"/>
          <w:lang w:val="en-US"/>
        </w:rPr>
        <w:t>5</w:t>
      </w:r>
      <w:r>
        <w:rPr>
          <w:rFonts w:hint="eastAsia"/>
        </w:rPr>
        <w:t xml:space="preserve">.在本合同履行过程中，若乙方自行或者根据相关职能部门的要求召回中选药品时，乙方应当及时通知甲方，作出相应说明。乙方应向甲方提供必要的协助配合，且召回中所产生的费用均由乙方承担。 </w:t>
      </w:r>
    </w:p>
    <w:p>
      <w:pPr>
        <w:spacing w:line="360" w:lineRule="auto"/>
        <w:ind w:firstLine="440" w:firstLineChars="200"/>
      </w:pPr>
      <w:r>
        <w:rPr>
          <w:rFonts w:hint="eastAsia"/>
          <w:lang w:val="en-US"/>
        </w:rPr>
        <w:t>6</w:t>
      </w:r>
      <w:r>
        <w:rPr>
          <w:rFonts w:hint="eastAsia"/>
        </w:rPr>
        <w:t>.乙方在最终召回日期后的5个工作日内，根据实际召回数量向丙方、甲方归还货款。在此之后仍有中选药品被召回的，乙方应按上述约定承担同样的责任。</w:t>
      </w:r>
    </w:p>
    <w:p>
      <w:pPr>
        <w:spacing w:line="360" w:lineRule="auto"/>
        <w:ind w:left="229" w:leftChars="104" w:firstLine="209" w:firstLineChars="95"/>
      </w:pPr>
    </w:p>
    <w:p>
      <w:pPr>
        <w:spacing w:line="360" w:lineRule="auto"/>
        <w:ind w:left="229" w:leftChars="104" w:firstLine="210" w:firstLineChars="95"/>
        <w:rPr>
          <w:b/>
          <w:bCs/>
        </w:rPr>
      </w:pPr>
      <w:r>
        <w:rPr>
          <w:rFonts w:hint="eastAsia"/>
          <w:b/>
          <w:bCs/>
        </w:rPr>
        <w:t>第十一条 知识产权及商业秘密保护</w:t>
      </w:r>
    </w:p>
    <w:p>
      <w:pPr>
        <w:spacing w:line="360" w:lineRule="auto"/>
        <w:ind w:firstLine="440" w:firstLineChars="200"/>
      </w:pPr>
      <w:r>
        <w:rPr>
          <w:rFonts w:hint="eastAsia"/>
        </w:rPr>
        <w:t>1.甲、乙、丙三方均不得利用履行本合同所形成的便利条件，侵害各方的知识产权，该知识产权具体包括但不限于制药方法的专利权、专有技术，商标权以及企业名称权等。</w:t>
      </w:r>
    </w:p>
    <w:p>
      <w:pPr>
        <w:spacing w:line="360" w:lineRule="auto"/>
        <w:ind w:firstLine="440" w:firstLineChars="200"/>
      </w:pPr>
      <w:r>
        <w:rPr>
          <w:rFonts w:hint="eastAsia"/>
        </w:rPr>
        <w:t>2.甲、乙、丙三方应恪守商业秘密保护的责任，未经对方</w:t>
      </w:r>
      <w:r>
        <w:t>事前书面</w:t>
      </w:r>
      <w:r>
        <w:rPr>
          <w:rFonts w:hint="eastAsia"/>
        </w:rPr>
        <w:t>同意，不得擅自使用或对外披露对方的商业秘密。</w:t>
      </w:r>
    </w:p>
    <w:p>
      <w:pPr>
        <w:spacing w:line="360" w:lineRule="auto"/>
        <w:ind w:firstLine="440" w:firstLineChars="200"/>
        <w:jc w:val="both"/>
      </w:pPr>
      <w:r>
        <w:t>3.乙方应保证中选药品不存在专利权、商标权等知识产权方面的争议，如与第三方产生争议，甲方有权解除本协议、终止对乙方药品的采购且不承担违约责任，乙方自行处理和承担责任。</w:t>
      </w:r>
    </w:p>
    <w:p>
      <w:pPr>
        <w:spacing w:line="360" w:lineRule="auto"/>
        <w:ind w:firstLine="440" w:firstLineChars="200"/>
        <w:jc w:val="both"/>
      </w:pPr>
      <w:r>
        <w:t xml:space="preserve"> 如因乙方产品侵犯第三方权利导致甲方因此而遭致损失的，乙方应全额赔偿甲方的损失。</w:t>
      </w:r>
    </w:p>
    <w:p>
      <w:pPr>
        <w:spacing w:line="360" w:lineRule="auto"/>
        <w:ind w:firstLine="440" w:firstLineChars="200"/>
      </w:pPr>
    </w:p>
    <w:p>
      <w:pPr>
        <w:spacing w:line="360" w:lineRule="auto"/>
        <w:ind w:firstLine="442" w:firstLineChars="200"/>
      </w:pPr>
      <w:r>
        <w:rPr>
          <w:rFonts w:hint="eastAsia"/>
          <w:b/>
          <w:bCs/>
        </w:rPr>
        <w:t>第十二条 违约责任</w:t>
      </w:r>
    </w:p>
    <w:p>
      <w:pPr>
        <w:spacing w:line="360" w:lineRule="auto"/>
        <w:ind w:firstLine="440" w:firstLineChars="200"/>
      </w:pPr>
      <w:r>
        <w:rPr>
          <w:rFonts w:hint="eastAsia"/>
        </w:rPr>
        <w:t>1.甲方如出现下列行为，应按照《中华人民共和国合同法》的规定承担违约责任:</w:t>
      </w:r>
    </w:p>
    <w:p>
      <w:pPr>
        <w:numPr>
          <w:ilvl w:val="255"/>
          <w:numId w:val="0"/>
        </w:numPr>
        <w:spacing w:line="360" w:lineRule="auto"/>
        <w:ind w:firstLine="440" w:firstLineChars="200"/>
      </w:pPr>
      <w:r>
        <w:rPr>
          <w:rFonts w:hint="eastAsia"/>
        </w:rPr>
        <w:t>（1）甲方违反本合同约定，无正当理由拒绝接收丙方配送的药品；</w:t>
      </w:r>
    </w:p>
    <w:p>
      <w:pPr>
        <w:numPr>
          <w:ilvl w:val="255"/>
          <w:numId w:val="0"/>
        </w:numPr>
        <w:spacing w:line="360" w:lineRule="auto"/>
        <w:ind w:firstLine="440" w:firstLineChars="200"/>
      </w:pPr>
      <w:r>
        <w:rPr>
          <w:rFonts w:hint="eastAsia"/>
        </w:rPr>
        <w:t>（2）甲方违反本合同约定，在合同有效期内无故未完成约定采购量；</w:t>
      </w:r>
    </w:p>
    <w:p>
      <w:pPr>
        <w:numPr>
          <w:ilvl w:val="255"/>
          <w:numId w:val="0"/>
        </w:numPr>
        <w:spacing w:line="360" w:lineRule="auto"/>
        <w:ind w:firstLine="440" w:firstLineChars="200"/>
      </w:pPr>
      <w:r>
        <w:rPr>
          <w:rFonts w:hint="eastAsia"/>
        </w:rPr>
        <w:t>（3）甲方未按照本合同约定按时结算货款；</w:t>
      </w:r>
    </w:p>
    <w:p>
      <w:pPr>
        <w:numPr>
          <w:ilvl w:val="255"/>
          <w:numId w:val="0"/>
        </w:numPr>
        <w:spacing w:line="360" w:lineRule="auto"/>
        <w:ind w:firstLine="440" w:firstLineChars="200"/>
      </w:pPr>
      <w:r>
        <w:rPr>
          <w:rFonts w:hint="eastAsia"/>
        </w:rPr>
        <w:t>（4）其他违反本合同约定的行为。</w:t>
      </w:r>
    </w:p>
    <w:p>
      <w:pPr>
        <w:numPr>
          <w:ilvl w:val="255"/>
          <w:numId w:val="0"/>
        </w:numPr>
        <w:spacing w:line="360" w:lineRule="auto"/>
        <w:ind w:firstLine="440" w:firstLineChars="200"/>
      </w:pPr>
      <w:r>
        <w:rPr>
          <w:rFonts w:hint="eastAsia"/>
        </w:rPr>
        <w:t>2.乙方如出现下列行为，应按照《中华人民共和国合同法》的规定承担违约责任：</w:t>
      </w:r>
    </w:p>
    <w:p>
      <w:pPr>
        <w:numPr>
          <w:ilvl w:val="255"/>
          <w:numId w:val="0"/>
        </w:numPr>
        <w:spacing w:line="360" w:lineRule="auto"/>
        <w:ind w:firstLine="440" w:firstLineChars="200"/>
      </w:pPr>
      <w:r>
        <w:rPr>
          <w:rFonts w:hint="eastAsia"/>
        </w:rPr>
        <w:t>（1）所供选药品不符合本合同约定的质量标准；</w:t>
      </w:r>
    </w:p>
    <w:p>
      <w:pPr>
        <w:numPr>
          <w:ilvl w:val="255"/>
          <w:numId w:val="0"/>
        </w:numPr>
        <w:spacing w:line="360" w:lineRule="auto"/>
        <w:ind w:firstLine="440" w:firstLineChars="200"/>
      </w:pPr>
      <w:r>
        <w:rPr>
          <w:rFonts w:hint="eastAsia"/>
        </w:rPr>
        <w:t>（2）未按照本合同约定及时进行退换货。</w:t>
      </w:r>
    </w:p>
    <w:p>
      <w:pPr>
        <w:numPr>
          <w:ilvl w:val="255"/>
          <w:numId w:val="0"/>
        </w:numPr>
        <w:spacing w:line="360" w:lineRule="auto"/>
        <w:ind w:firstLine="440" w:firstLineChars="200"/>
      </w:pPr>
      <w:r>
        <w:rPr>
          <w:rFonts w:hint="eastAsia"/>
        </w:rPr>
        <w:t>3.丙方如出现下列行为，应按照《中华人民共和国合同法》的规定承担违约责任，且乙、丙双方互为连带责任：</w:t>
      </w:r>
    </w:p>
    <w:p>
      <w:pPr>
        <w:numPr>
          <w:ilvl w:val="255"/>
          <w:numId w:val="0"/>
        </w:numPr>
        <w:spacing w:line="360" w:lineRule="auto"/>
        <w:ind w:firstLine="440" w:firstLineChars="200"/>
      </w:pPr>
      <w:r>
        <w:rPr>
          <w:rFonts w:hint="eastAsia"/>
        </w:rPr>
        <w:t>（1）违反本合同约定，不及时、不足量或拒绝供货；</w:t>
      </w:r>
    </w:p>
    <w:p>
      <w:pPr>
        <w:numPr>
          <w:ilvl w:val="255"/>
          <w:numId w:val="0"/>
        </w:numPr>
        <w:spacing w:line="360" w:lineRule="auto"/>
        <w:ind w:firstLine="440" w:firstLineChars="200"/>
      </w:pPr>
      <w:r>
        <w:rPr>
          <w:rFonts w:hint="eastAsia"/>
        </w:rPr>
        <w:t>（2）运输不善或配送迟延等原因，导致中选药品在配送过程中发生损坏或变质；</w:t>
      </w:r>
    </w:p>
    <w:p>
      <w:pPr>
        <w:numPr>
          <w:ilvl w:val="255"/>
          <w:numId w:val="0"/>
        </w:numPr>
        <w:spacing w:line="360" w:lineRule="auto"/>
        <w:ind w:firstLine="440" w:firstLineChars="200"/>
      </w:pPr>
      <w:r>
        <w:rPr>
          <w:rFonts w:hint="eastAsia"/>
        </w:rPr>
        <w:t>（3）其他违反本合同约定的行为。</w:t>
      </w:r>
    </w:p>
    <w:p>
      <w:pPr>
        <w:numPr>
          <w:ilvl w:val="255"/>
          <w:numId w:val="0"/>
        </w:numPr>
        <w:spacing w:line="360" w:lineRule="auto"/>
        <w:ind w:firstLine="440" w:firstLineChars="200"/>
      </w:pPr>
      <w:r>
        <w:rPr>
          <w:rFonts w:hint="eastAsia"/>
          <w:lang w:val="en-US"/>
        </w:rPr>
        <w:t>4</w:t>
      </w:r>
      <w:r>
        <w:rPr>
          <w:rFonts w:hint="eastAsia"/>
        </w:rPr>
        <w:t>.任何一方违反本合同导致本合同无法继续履行的，违约方应赔偿违约行为对守约方造成的所有实际损失。</w:t>
      </w:r>
      <w:r>
        <w:rPr>
          <w:rFonts w:hint="eastAsia"/>
          <w:lang w:val="en-US"/>
        </w:rPr>
        <w:t>当</w:t>
      </w:r>
      <w:r>
        <w:rPr>
          <w:rFonts w:hint="eastAsia"/>
        </w:rPr>
        <w:t>出现货款逾期支付或退还货款逾期的情形时，违约方应向守约方支付逾期付款违约金：</w:t>
      </w:r>
    </w:p>
    <w:p>
      <w:pPr>
        <w:numPr>
          <w:ilvl w:val="255"/>
          <w:numId w:val="0"/>
        </w:numPr>
        <w:spacing w:line="360" w:lineRule="auto"/>
        <w:ind w:firstLine="440" w:firstLineChars="200"/>
      </w:pPr>
      <w:r>
        <w:rPr>
          <w:rFonts w:hint="eastAsia"/>
        </w:rPr>
        <w:t>（</w:t>
      </w:r>
      <w:r>
        <w:rPr>
          <w:rFonts w:hint="eastAsia"/>
          <w:lang w:val="en-US"/>
        </w:rPr>
        <w:t>1</w:t>
      </w:r>
      <w:r>
        <w:rPr>
          <w:rFonts w:hint="eastAsia"/>
        </w:rPr>
        <w:t>）逾期在10日（含）以内的，每日应按未付款项的0.1‰向守约方支付违约金；</w:t>
      </w:r>
    </w:p>
    <w:p>
      <w:pPr>
        <w:numPr>
          <w:ilvl w:val="255"/>
          <w:numId w:val="0"/>
        </w:numPr>
        <w:spacing w:line="360" w:lineRule="auto"/>
        <w:ind w:firstLine="440" w:firstLineChars="200"/>
      </w:pPr>
      <w:r>
        <w:rPr>
          <w:rFonts w:hint="eastAsia"/>
        </w:rPr>
        <w:t>（</w:t>
      </w:r>
      <w:r>
        <w:rPr>
          <w:rFonts w:hint="eastAsia"/>
          <w:lang w:val="en-US"/>
        </w:rPr>
        <w:t>2</w:t>
      </w:r>
      <w:r>
        <w:rPr>
          <w:rFonts w:hint="eastAsia"/>
        </w:rPr>
        <w:t>）逾期在10日以上30日（含）以内的，每日应按未付款项的0.3‰向守约方支付违约金；</w:t>
      </w:r>
    </w:p>
    <w:p>
      <w:pPr>
        <w:numPr>
          <w:ilvl w:val="255"/>
          <w:numId w:val="0"/>
        </w:numPr>
        <w:spacing w:line="360" w:lineRule="auto"/>
        <w:ind w:firstLine="440" w:firstLineChars="200"/>
      </w:pPr>
      <w:r>
        <w:rPr>
          <w:rFonts w:hint="eastAsia"/>
        </w:rPr>
        <w:t>（</w:t>
      </w:r>
      <w:r>
        <w:rPr>
          <w:rFonts w:hint="eastAsia"/>
          <w:lang w:val="en-US"/>
        </w:rPr>
        <w:t>3</w:t>
      </w:r>
      <w:r>
        <w:rPr>
          <w:rFonts w:hint="eastAsia"/>
        </w:rPr>
        <w:t>）逾期超过30日的，每日应按未付款项的0.8‰向守约方支付违约金；</w:t>
      </w:r>
    </w:p>
    <w:p>
      <w:pPr>
        <w:numPr>
          <w:ilvl w:val="255"/>
          <w:numId w:val="0"/>
        </w:numPr>
        <w:spacing w:line="360" w:lineRule="auto"/>
        <w:ind w:firstLine="440" w:firstLineChars="200"/>
      </w:pPr>
      <w:r>
        <w:rPr>
          <w:rFonts w:hint="eastAsia"/>
        </w:rPr>
        <w:t>（</w:t>
      </w:r>
      <w:r>
        <w:rPr>
          <w:rFonts w:hint="eastAsia"/>
          <w:lang w:val="en-US"/>
        </w:rPr>
        <w:t>4</w:t>
      </w:r>
      <w:r>
        <w:rPr>
          <w:rFonts w:hint="eastAsia"/>
        </w:rPr>
        <w:t>）违约金的支付并不免除或减轻违约方继续履行合同的义务。</w:t>
      </w:r>
    </w:p>
    <w:p>
      <w:pPr>
        <w:spacing w:line="360" w:lineRule="auto"/>
        <w:ind w:left="10"/>
      </w:pPr>
      <w:r>
        <w:rPr>
          <w:rFonts w:hint="eastAsia"/>
        </w:rPr>
        <w:t xml:space="preserve"> </w:t>
      </w:r>
    </w:p>
    <w:p>
      <w:pPr>
        <w:spacing w:line="360" w:lineRule="auto"/>
        <w:ind w:left="213" w:leftChars="97" w:firstLine="210" w:firstLineChars="95"/>
        <w:rPr>
          <w:b/>
          <w:bCs/>
        </w:rPr>
      </w:pPr>
      <w:r>
        <w:rPr>
          <w:rFonts w:hint="eastAsia"/>
          <w:b/>
          <w:bCs/>
        </w:rPr>
        <w:t>第十三条 不可抗力</w:t>
      </w:r>
    </w:p>
    <w:p>
      <w:pPr>
        <w:spacing w:line="360" w:lineRule="auto"/>
        <w:ind w:left="5"/>
      </w:pPr>
      <w:r>
        <w:rPr>
          <w:rFonts w:hint="eastAsia"/>
        </w:rPr>
        <w:t xml:space="preserve">    </w:t>
      </w:r>
      <w:r>
        <w:t>1.</w:t>
      </w:r>
      <w:r>
        <w:rPr>
          <w:rFonts w:hint="eastAsia"/>
        </w:rPr>
        <w:t xml:space="preserve"> 在采购周期内，若国家和省有新规定的，从其规定。</w:t>
      </w:r>
    </w:p>
    <w:p>
      <w:pPr>
        <w:spacing w:line="360" w:lineRule="auto"/>
        <w:ind w:left="5" w:firstLine="440" w:firstLineChars="200"/>
      </w:pPr>
      <w:r>
        <w:t>2</w:t>
      </w:r>
      <w:r>
        <w:rPr>
          <w:rFonts w:hint="eastAsia"/>
        </w:rPr>
        <w:t>.甲、乙、丙三方因国家和</w:t>
      </w:r>
      <w:r>
        <w:t>省</w:t>
      </w:r>
      <w:r>
        <w:rPr>
          <w:rFonts w:hint="eastAsia"/>
        </w:rPr>
        <w:t>政策调整或不可抗力而导致合同实施延误或不能履行合同义务的，不应承担误期赔偿或终止合同的责任。</w:t>
      </w:r>
    </w:p>
    <w:p>
      <w:pPr>
        <w:spacing w:line="360" w:lineRule="auto"/>
        <w:ind w:firstLine="440" w:firstLineChars="200"/>
      </w:pPr>
      <w:r>
        <w:t>3</w:t>
      </w:r>
      <w:r>
        <w:rPr>
          <w:rFonts w:hint="eastAsia"/>
        </w:rPr>
        <w:t>.本条所述的“不可抗力”系指合同各方无法控制、不可预见的事件，但不包括合同某一方的违约或疏忽。这些事件包括但不限于：战争、严重火灾、洪水、台风、地震及其他双方商定的事件。</w:t>
      </w:r>
    </w:p>
    <w:p>
      <w:pPr>
        <w:spacing w:line="360" w:lineRule="auto"/>
        <w:ind w:firstLine="440" w:firstLineChars="200"/>
      </w:pPr>
      <w:r>
        <w:t>4</w:t>
      </w:r>
      <w:r>
        <w:rPr>
          <w:rFonts w:hint="eastAsia"/>
        </w:rPr>
        <w:t>.在国家和</w:t>
      </w:r>
      <w:r>
        <w:t>省</w:t>
      </w:r>
      <w:r>
        <w:rPr>
          <w:rFonts w:hint="eastAsia"/>
        </w:rPr>
        <w:t>政策调整或不可抗力事件发生后，合同一方应尽快以书面形式将国家和</w:t>
      </w:r>
      <w:r>
        <w:t>省</w:t>
      </w:r>
      <w:r>
        <w:rPr>
          <w:rFonts w:hint="eastAsia"/>
        </w:rPr>
        <w:t>政策调整或不可抗力的情况和原因通知其他方。除另行要求外，合同当事人应尽实际可能继续履行合同义务，以及寻求采取合理的方案履行不受国家和</w:t>
      </w:r>
      <w:r>
        <w:t>省</w:t>
      </w:r>
      <w:r>
        <w:rPr>
          <w:rFonts w:hint="eastAsia"/>
        </w:rPr>
        <w:t>政策调整或不可抗力影响的其他事项。国家和</w:t>
      </w:r>
      <w:r>
        <w:t>省</w:t>
      </w:r>
      <w:r>
        <w:rPr>
          <w:rFonts w:hint="eastAsia"/>
        </w:rPr>
        <w:t>政策调整或不可抗力事件影响消除后，合同当事人可通过协商在合理的时间内迖成进一步履行合同的协议。</w:t>
      </w:r>
    </w:p>
    <w:p>
      <w:pPr>
        <w:spacing w:line="360" w:lineRule="auto"/>
        <w:ind w:left="10"/>
      </w:pPr>
      <w:r>
        <w:rPr>
          <w:rFonts w:hint="eastAsia"/>
        </w:rPr>
        <w:t xml:space="preserve"> </w:t>
      </w:r>
    </w:p>
    <w:p>
      <w:pPr>
        <w:spacing w:line="360" w:lineRule="auto"/>
        <w:ind w:left="213" w:leftChars="97" w:firstLine="210" w:firstLineChars="95"/>
        <w:rPr>
          <w:b/>
          <w:bCs/>
        </w:rPr>
      </w:pPr>
      <w:r>
        <w:rPr>
          <w:rFonts w:hint="eastAsia"/>
          <w:b/>
          <w:bCs/>
        </w:rPr>
        <w:t>第十四条 合同的变更和解除</w:t>
      </w:r>
    </w:p>
    <w:p>
      <w:pPr>
        <w:spacing w:line="360" w:lineRule="auto"/>
        <w:ind w:right="304" w:firstLine="440" w:firstLineChars="200"/>
      </w:pPr>
      <w:r>
        <w:rPr>
          <w:rFonts w:hint="eastAsia"/>
        </w:rPr>
        <w:t>1.甲、乙、丙任何一方严重违约，造成本合同无法继续履行或不能实现合同目的，被违约的两方有权解除本合同的履行。</w:t>
      </w:r>
    </w:p>
    <w:p>
      <w:pPr>
        <w:spacing w:line="360" w:lineRule="auto"/>
        <w:ind w:right="304" w:firstLine="440" w:firstLineChars="200"/>
      </w:pPr>
      <w:r>
        <w:rPr>
          <w:rFonts w:hint="eastAsia"/>
        </w:rPr>
        <w:t>2.甲、乙、丙任何一方丧失必要的经营资质或</w:t>
      </w:r>
      <w:r>
        <w:t>产品代理资质</w:t>
      </w:r>
      <w:r>
        <w:rPr>
          <w:rFonts w:hint="eastAsia"/>
        </w:rPr>
        <w:t>，不能再从事药品生产或经营活动的；或严重资不抵债的；或无能力的/或承认其无能力清偿到期债务的，任一</w:t>
      </w:r>
      <w:r>
        <w:t>守约方</w:t>
      </w:r>
      <w:r>
        <w:rPr>
          <w:rFonts w:hint="eastAsia"/>
        </w:rPr>
        <w:t xml:space="preserve">有权解除本合同的履行。 </w:t>
      </w:r>
    </w:p>
    <w:p>
      <w:pPr>
        <w:spacing w:line="360" w:lineRule="auto"/>
        <w:ind w:right="304" w:firstLine="440" w:firstLineChars="200"/>
      </w:pPr>
      <w:r>
        <w:t>3</w:t>
      </w:r>
      <w:r>
        <w:rPr>
          <w:rFonts w:hint="eastAsia"/>
        </w:rPr>
        <w:t>.在国家和</w:t>
      </w:r>
      <w:r>
        <w:t>省</w:t>
      </w:r>
      <w:r>
        <w:rPr>
          <w:rFonts w:hint="eastAsia"/>
        </w:rPr>
        <w:t xml:space="preserve">政策调整或不可抗力发生的情况下，甲、乙、丙三方可根据情况变更或解除本合同的履行。 </w:t>
      </w:r>
    </w:p>
    <w:p>
      <w:pPr>
        <w:spacing w:line="360" w:lineRule="auto"/>
        <w:ind w:right="304" w:firstLine="440" w:firstLineChars="200"/>
      </w:pPr>
      <w:r>
        <w:t>4</w:t>
      </w:r>
      <w:r>
        <w:rPr>
          <w:rFonts w:hint="eastAsia"/>
        </w:rPr>
        <w:t xml:space="preserve">.合同变更和解除前约定履行但尚未履行的部分，除法律法规有明确规定不能继续履行的，甲、乙、丙三方应继续履行至结束。 </w:t>
      </w:r>
    </w:p>
    <w:p>
      <w:pPr>
        <w:spacing w:line="360" w:lineRule="auto"/>
        <w:ind w:left="10"/>
      </w:pPr>
      <w:r>
        <w:rPr>
          <w:rFonts w:hint="eastAsia"/>
        </w:rPr>
        <w:t xml:space="preserve"> </w:t>
      </w:r>
    </w:p>
    <w:p>
      <w:pPr>
        <w:spacing w:line="360" w:lineRule="auto"/>
        <w:ind w:left="213" w:leftChars="97" w:firstLine="210" w:firstLineChars="95"/>
        <w:rPr>
          <w:b/>
          <w:bCs/>
        </w:rPr>
      </w:pPr>
      <w:r>
        <w:rPr>
          <w:rFonts w:hint="eastAsia"/>
          <w:b/>
          <w:bCs/>
        </w:rPr>
        <w:t>第十五条 争议的解决</w:t>
      </w:r>
    </w:p>
    <w:p>
      <w:pPr>
        <w:spacing w:line="360" w:lineRule="auto"/>
        <w:ind w:left="5"/>
      </w:pPr>
      <w:r>
        <w:rPr>
          <w:rFonts w:hint="eastAsia"/>
        </w:rPr>
        <w:t xml:space="preserve">    1.在本合同履行过程中发生任何争议，甲、乙、丙三方应友好协商解决，协商不成的，三方同意将争议提交甲方所在地有管辖权的人民法院管辖。</w:t>
      </w:r>
    </w:p>
    <w:p>
      <w:pPr>
        <w:numPr>
          <w:ilvl w:val="255"/>
          <w:numId w:val="0"/>
        </w:numPr>
        <w:spacing w:line="360" w:lineRule="auto"/>
        <w:ind w:left="5" w:hanging="10"/>
      </w:pPr>
      <w:r>
        <w:rPr>
          <w:rFonts w:hint="eastAsia"/>
        </w:rPr>
        <w:t xml:space="preserve">    2.本合同适用中华人民共和国法律法规。</w:t>
      </w:r>
    </w:p>
    <w:p>
      <w:pPr>
        <w:spacing w:line="360" w:lineRule="auto"/>
        <w:ind w:left="10"/>
      </w:pPr>
      <w:r>
        <w:rPr>
          <w:rFonts w:hint="eastAsia"/>
        </w:rPr>
        <w:t xml:space="preserve"> </w:t>
      </w:r>
    </w:p>
    <w:p>
      <w:pPr>
        <w:spacing w:line="360" w:lineRule="auto"/>
        <w:ind w:left="213" w:leftChars="97" w:firstLine="210" w:firstLineChars="95"/>
        <w:rPr>
          <w:b/>
          <w:bCs/>
        </w:rPr>
      </w:pPr>
      <w:r>
        <w:rPr>
          <w:rFonts w:hint="eastAsia"/>
          <w:b/>
          <w:bCs/>
        </w:rPr>
        <w:t>第十六条 其他条款</w:t>
      </w:r>
    </w:p>
    <w:p>
      <w:pPr>
        <w:numPr>
          <w:ilvl w:val="255"/>
          <w:numId w:val="0"/>
        </w:numPr>
        <w:spacing w:line="360" w:lineRule="auto"/>
        <w:ind w:firstLine="440" w:firstLineChars="200"/>
      </w:pPr>
      <w:r>
        <w:rPr>
          <w:rFonts w:hint="eastAsia"/>
        </w:rPr>
        <w:t>1.甲、乙、丙三方通过交易平台确认的订单为本合同的组成部分</w:t>
      </w:r>
      <w:r>
        <w:t>，具有同等法律效力</w:t>
      </w:r>
      <w:r>
        <w:rPr>
          <w:rFonts w:hint="eastAsia"/>
        </w:rPr>
        <w:t>。</w:t>
      </w:r>
    </w:p>
    <w:p>
      <w:pPr>
        <w:spacing w:line="360" w:lineRule="auto"/>
        <w:ind w:firstLine="440" w:firstLineChars="200"/>
      </w:pPr>
      <w:r>
        <w:rPr>
          <w:rFonts w:hint="eastAsia"/>
        </w:rPr>
        <w:t>2.本合同未尽事项，甲、乙、丙三方应友好协商，经三方书面同意可以对合同条款进行补充或修改，根据需要可另行签订补充协议作为本合同的附件，附件具有同等的法律效力。</w:t>
      </w:r>
    </w:p>
    <w:p>
      <w:pPr>
        <w:numPr>
          <w:ilvl w:val="255"/>
          <w:numId w:val="0"/>
        </w:numPr>
        <w:spacing w:line="360" w:lineRule="auto"/>
        <w:ind w:firstLine="440" w:firstLineChars="200"/>
      </w:pPr>
      <w:r>
        <w:rPr>
          <w:rFonts w:hint="eastAsia"/>
        </w:rPr>
        <w:t>3.本合同于</w:t>
      </w:r>
      <w:r>
        <w:rPr>
          <w:rFonts w:hint="eastAsia"/>
          <w:u w:val="single"/>
        </w:rPr>
        <w:t xml:space="preserve">     </w:t>
      </w:r>
      <w:r>
        <w:rPr>
          <w:rFonts w:hint="eastAsia"/>
        </w:rPr>
        <w:t>（省/广州/深圳）平台签署，自甲方通过该交易平台创建发送合同，且乙方、丙方均通过该交易平台确认同意之日起成立并生效。</w:t>
      </w:r>
    </w:p>
    <w:p>
      <w:pPr>
        <w:spacing w:line="360" w:lineRule="auto"/>
      </w:pPr>
    </w:p>
    <w:p>
      <w:pPr>
        <w:numPr>
          <w:ilvl w:val="255"/>
          <w:numId w:val="0"/>
        </w:numPr>
        <w:spacing w:line="360" w:lineRule="auto"/>
        <w:ind w:left="10" w:firstLine="442" w:firstLineChars="200"/>
        <w:rPr>
          <w:b/>
          <w:bCs/>
        </w:rPr>
      </w:pPr>
      <w:r>
        <w:rPr>
          <w:rFonts w:hint="eastAsia"/>
          <w:b/>
          <w:bCs/>
        </w:rPr>
        <w:t>第十七条 特别约定</w:t>
      </w:r>
    </w:p>
    <w:p>
      <w:pPr>
        <w:numPr>
          <w:ilvl w:val="255"/>
          <w:numId w:val="0"/>
        </w:numPr>
        <w:spacing w:line="360" w:lineRule="auto"/>
        <w:ind w:left="10" w:firstLine="440" w:firstLineChars="200"/>
        <w:rPr>
          <w:bCs/>
        </w:rPr>
      </w:pPr>
      <w:r>
        <w:rPr>
          <w:rFonts w:hint="eastAsia"/>
          <w:bCs/>
        </w:rPr>
        <w:t>1.</w:t>
      </w:r>
      <w:r>
        <w:rPr>
          <w:rFonts w:hint="eastAsia"/>
        </w:rPr>
        <w:t xml:space="preserve"> </w:t>
      </w:r>
      <w:r>
        <w:rPr>
          <w:rFonts w:hint="eastAsia"/>
          <w:bCs/>
        </w:rPr>
        <w:t>《头孢氨苄药品联盟地区集团带量采购文件》（采购文件编号：</w:t>
      </w:r>
      <w:r>
        <w:t>GDYJYPDL202101</w:t>
      </w:r>
      <w:r>
        <w:rPr>
          <w:rFonts w:hint="eastAsia"/>
          <w:bCs/>
        </w:rPr>
        <w:t>）、乙方的申报材料（含《医药企业</w:t>
      </w:r>
      <w:r>
        <w:rPr>
          <w:bCs/>
        </w:rPr>
        <w:t>价格和营销行为信用承诺函</w:t>
      </w:r>
      <w:r>
        <w:rPr>
          <w:rFonts w:hint="eastAsia"/>
          <w:bCs/>
        </w:rPr>
        <w:t>》）为本合同的有效组成部分，本合同</w:t>
      </w:r>
      <w:r>
        <w:rPr>
          <w:bCs/>
        </w:rPr>
        <w:t>各方应遵照执行。</w:t>
      </w:r>
    </w:p>
    <w:p>
      <w:pPr>
        <w:numPr>
          <w:ilvl w:val="255"/>
          <w:numId w:val="0"/>
        </w:numPr>
        <w:spacing w:line="360" w:lineRule="auto"/>
        <w:ind w:left="10" w:firstLine="440" w:firstLineChars="200"/>
        <w:rPr>
          <w:bCs/>
        </w:rPr>
      </w:pPr>
      <w:r>
        <w:rPr>
          <w:rFonts w:hint="eastAsia"/>
          <w:bCs/>
          <w:lang w:val="en-US"/>
        </w:rPr>
        <w:t>2</w:t>
      </w:r>
      <w:r>
        <w:rPr>
          <w:rFonts w:hint="eastAsia"/>
          <w:bCs/>
        </w:rPr>
        <w:t>.</w:t>
      </w:r>
      <w:r>
        <w:rPr>
          <w:rFonts w:hint="eastAsia"/>
          <w:bCs/>
          <w:lang w:val="en-US"/>
        </w:rPr>
        <w:t>乙</w:t>
      </w:r>
      <w:r>
        <w:rPr>
          <w:rFonts w:hint="eastAsia"/>
          <w:bCs/>
        </w:rPr>
        <w:t>方、</w:t>
      </w:r>
      <w:r>
        <w:rPr>
          <w:rFonts w:hint="eastAsia"/>
          <w:bCs/>
          <w:lang w:val="en-US"/>
        </w:rPr>
        <w:t>丙方</w:t>
      </w:r>
      <w:r>
        <w:rPr>
          <w:rFonts w:hint="eastAsia"/>
          <w:bCs/>
        </w:rPr>
        <w:t>如出现违反本合同约定的，自愿接受取消2年内参加省级带量集中采购</w:t>
      </w:r>
      <w:r>
        <w:rPr>
          <w:rFonts w:hint="eastAsia"/>
          <w:bCs/>
          <w:lang w:val="en-US"/>
        </w:rPr>
        <w:t>的</w:t>
      </w:r>
      <w:r>
        <w:rPr>
          <w:rFonts w:hint="eastAsia"/>
          <w:bCs/>
        </w:rPr>
        <w:t>资格。</w:t>
      </w:r>
    </w:p>
    <w:p>
      <w:pPr>
        <w:numPr>
          <w:ilvl w:val="255"/>
          <w:numId w:val="0"/>
        </w:numPr>
        <w:spacing w:line="360" w:lineRule="auto"/>
        <w:ind w:left="10" w:firstLine="440" w:firstLineChars="200"/>
        <w:rPr>
          <w:bCs/>
          <w:lang w:val="en-US"/>
        </w:rPr>
      </w:pPr>
      <w:r>
        <w:rPr>
          <w:rFonts w:hint="eastAsia"/>
          <w:bCs/>
          <w:lang w:val="en-US"/>
        </w:rPr>
        <w:t>3.如乙方或丙方委托提供代理服务的法人和自然人，因涉及乙方药品的回扣等医药商业贿赂行为，乙方或丙方承诺承担失信违约责任。</w:t>
      </w:r>
    </w:p>
    <w:p>
      <w:pPr>
        <w:pStyle w:val="2"/>
        <w:rPr>
          <w:rFonts w:hint="default"/>
          <w:lang w:bidi="zh-CN"/>
        </w:rPr>
      </w:pPr>
    </w:p>
    <w:p>
      <w:pPr>
        <w:pStyle w:val="2"/>
        <w:rPr>
          <w:rFonts w:hint="default"/>
          <w:lang w:bidi="zh-CN"/>
        </w:rPr>
      </w:pPr>
    </w:p>
    <w:p>
      <w:pPr>
        <w:numPr>
          <w:ilvl w:val="255"/>
          <w:numId w:val="0"/>
        </w:numPr>
        <w:spacing w:line="360" w:lineRule="auto"/>
      </w:pPr>
      <w:r>
        <w:rPr>
          <w:rFonts w:hint="eastAsia" w:ascii="黑体" w:hAnsi="黑体" w:eastAsia="黑体" w:cs="黑体"/>
        </w:rPr>
        <w:t>附件</w:t>
      </w:r>
    </w:p>
    <w:p>
      <w:pPr>
        <w:ind w:left="5"/>
      </w:pPr>
    </w:p>
    <w:p>
      <w:pPr>
        <w:ind w:left="5"/>
        <w:jc w:val="center"/>
        <w:rPr>
          <w:b/>
          <w:bCs/>
        </w:rPr>
      </w:pPr>
      <w:r>
        <w:rPr>
          <w:rFonts w:hint="eastAsia"/>
          <w:b/>
          <w:bCs/>
        </w:rPr>
        <w:t>中选药品采购明细表</w:t>
      </w:r>
    </w:p>
    <w:p>
      <w:pPr>
        <w:ind w:left="5"/>
        <w:jc w:val="center"/>
        <w:rPr>
          <w:b/>
          <w:bCs/>
        </w:rPr>
      </w:pPr>
    </w:p>
    <w:tbl>
      <w:tblPr>
        <w:tblStyle w:val="14"/>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25"/>
        <w:gridCol w:w="645"/>
        <w:gridCol w:w="570"/>
        <w:gridCol w:w="684"/>
        <w:gridCol w:w="675"/>
        <w:gridCol w:w="660"/>
        <w:gridCol w:w="900"/>
        <w:gridCol w:w="945"/>
        <w:gridCol w:w="1086"/>
        <w:gridCol w:w="93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jc w:val="center"/>
              <w:rPr>
                <w:sz w:val="16"/>
                <w:szCs w:val="16"/>
              </w:rPr>
            </w:pPr>
            <w:r>
              <w:rPr>
                <w:rFonts w:hint="eastAsia"/>
                <w:sz w:val="16"/>
                <w:szCs w:val="16"/>
              </w:rPr>
              <w:t>产品名称</w:t>
            </w:r>
          </w:p>
        </w:tc>
        <w:tc>
          <w:tcPr>
            <w:tcW w:w="825" w:type="dxa"/>
            <w:vAlign w:val="center"/>
          </w:tcPr>
          <w:p>
            <w:pPr>
              <w:jc w:val="center"/>
              <w:rPr>
                <w:sz w:val="16"/>
                <w:szCs w:val="16"/>
              </w:rPr>
            </w:pPr>
            <w:r>
              <w:rPr>
                <w:rFonts w:hint="eastAsia"/>
                <w:sz w:val="16"/>
                <w:szCs w:val="16"/>
              </w:rPr>
              <w:t>商品名</w:t>
            </w:r>
          </w:p>
        </w:tc>
        <w:tc>
          <w:tcPr>
            <w:tcW w:w="645" w:type="dxa"/>
            <w:vAlign w:val="center"/>
          </w:tcPr>
          <w:p>
            <w:pPr>
              <w:jc w:val="center"/>
              <w:rPr>
                <w:sz w:val="16"/>
                <w:szCs w:val="16"/>
              </w:rPr>
            </w:pPr>
            <w:r>
              <w:rPr>
                <w:rFonts w:hint="eastAsia"/>
                <w:sz w:val="16"/>
                <w:szCs w:val="16"/>
              </w:rPr>
              <w:t>剂型</w:t>
            </w:r>
          </w:p>
        </w:tc>
        <w:tc>
          <w:tcPr>
            <w:tcW w:w="570" w:type="dxa"/>
            <w:vAlign w:val="center"/>
          </w:tcPr>
          <w:p>
            <w:pPr>
              <w:jc w:val="center"/>
              <w:rPr>
                <w:sz w:val="16"/>
                <w:szCs w:val="16"/>
              </w:rPr>
            </w:pPr>
            <w:r>
              <w:rPr>
                <w:rFonts w:hint="eastAsia"/>
                <w:sz w:val="16"/>
                <w:szCs w:val="16"/>
              </w:rPr>
              <w:t>规格</w:t>
            </w:r>
          </w:p>
        </w:tc>
        <w:tc>
          <w:tcPr>
            <w:tcW w:w="684" w:type="dxa"/>
            <w:vAlign w:val="center"/>
          </w:tcPr>
          <w:p>
            <w:pPr>
              <w:jc w:val="center"/>
              <w:rPr>
                <w:sz w:val="16"/>
                <w:szCs w:val="16"/>
              </w:rPr>
            </w:pPr>
            <w:r>
              <w:rPr>
                <w:rFonts w:hint="eastAsia"/>
                <w:sz w:val="16"/>
                <w:szCs w:val="16"/>
              </w:rPr>
              <w:t>包装规格</w:t>
            </w:r>
          </w:p>
        </w:tc>
        <w:tc>
          <w:tcPr>
            <w:tcW w:w="675" w:type="dxa"/>
            <w:vAlign w:val="center"/>
          </w:tcPr>
          <w:p>
            <w:pPr>
              <w:jc w:val="center"/>
              <w:rPr>
                <w:sz w:val="16"/>
                <w:szCs w:val="16"/>
              </w:rPr>
            </w:pPr>
            <w:r>
              <w:rPr>
                <w:rFonts w:hint="eastAsia"/>
                <w:sz w:val="16"/>
                <w:szCs w:val="16"/>
              </w:rPr>
              <w:t>规格属性</w:t>
            </w:r>
          </w:p>
        </w:tc>
        <w:tc>
          <w:tcPr>
            <w:tcW w:w="660" w:type="dxa"/>
            <w:vAlign w:val="center"/>
          </w:tcPr>
          <w:p>
            <w:pPr>
              <w:jc w:val="center"/>
              <w:rPr>
                <w:sz w:val="16"/>
                <w:szCs w:val="16"/>
              </w:rPr>
            </w:pPr>
            <w:r>
              <w:rPr>
                <w:rFonts w:hint="eastAsia"/>
                <w:sz w:val="16"/>
                <w:szCs w:val="16"/>
              </w:rPr>
              <w:t>包装材质</w:t>
            </w:r>
          </w:p>
        </w:tc>
        <w:tc>
          <w:tcPr>
            <w:tcW w:w="900" w:type="dxa"/>
            <w:vAlign w:val="center"/>
          </w:tcPr>
          <w:p>
            <w:pPr>
              <w:jc w:val="center"/>
              <w:rPr>
                <w:sz w:val="16"/>
                <w:szCs w:val="16"/>
              </w:rPr>
            </w:pPr>
            <w:r>
              <w:rPr>
                <w:rFonts w:hint="eastAsia"/>
                <w:sz w:val="16"/>
                <w:szCs w:val="16"/>
              </w:rPr>
              <w:t>生产企业</w:t>
            </w:r>
          </w:p>
        </w:tc>
        <w:tc>
          <w:tcPr>
            <w:tcW w:w="945" w:type="dxa"/>
            <w:vAlign w:val="center"/>
          </w:tcPr>
          <w:p>
            <w:pPr>
              <w:jc w:val="center"/>
              <w:rPr>
                <w:sz w:val="16"/>
                <w:szCs w:val="16"/>
              </w:rPr>
            </w:pPr>
            <w:r>
              <w:rPr>
                <w:rFonts w:hint="eastAsia"/>
                <w:sz w:val="16"/>
                <w:szCs w:val="16"/>
              </w:rPr>
              <w:t>中选价格（元）</w:t>
            </w:r>
          </w:p>
        </w:tc>
        <w:tc>
          <w:tcPr>
            <w:tcW w:w="1086" w:type="dxa"/>
            <w:vAlign w:val="center"/>
          </w:tcPr>
          <w:p>
            <w:pPr>
              <w:jc w:val="center"/>
              <w:rPr>
                <w:sz w:val="16"/>
                <w:szCs w:val="16"/>
              </w:rPr>
            </w:pPr>
            <w:r>
              <w:rPr>
                <w:rFonts w:hint="eastAsia"/>
                <w:sz w:val="16"/>
                <w:szCs w:val="16"/>
              </w:rPr>
              <w:t>约定采购量</w:t>
            </w:r>
          </w:p>
        </w:tc>
        <w:tc>
          <w:tcPr>
            <w:tcW w:w="930" w:type="dxa"/>
            <w:vAlign w:val="center"/>
          </w:tcPr>
          <w:p>
            <w:pPr>
              <w:jc w:val="center"/>
              <w:rPr>
                <w:sz w:val="16"/>
                <w:szCs w:val="16"/>
              </w:rPr>
            </w:pPr>
            <w:r>
              <w:rPr>
                <w:rFonts w:hint="eastAsia"/>
                <w:sz w:val="16"/>
                <w:szCs w:val="16"/>
              </w:rPr>
              <w:t>合计金额</w:t>
            </w:r>
          </w:p>
          <w:p>
            <w:pPr>
              <w:jc w:val="center"/>
              <w:rPr>
                <w:sz w:val="16"/>
                <w:szCs w:val="16"/>
              </w:rPr>
            </w:pPr>
            <w:r>
              <w:rPr>
                <w:rFonts w:hint="eastAsia"/>
                <w:sz w:val="16"/>
                <w:szCs w:val="16"/>
              </w:rPr>
              <w:t>（元）</w:t>
            </w:r>
          </w:p>
        </w:tc>
        <w:tc>
          <w:tcPr>
            <w:tcW w:w="870" w:type="dxa"/>
            <w:vAlign w:val="center"/>
          </w:tcPr>
          <w:p>
            <w:pPr>
              <w:jc w:val="center"/>
              <w:rPr>
                <w:sz w:val="16"/>
                <w:szCs w:val="16"/>
              </w:rPr>
            </w:pPr>
            <w:r>
              <w:rPr>
                <w:rFonts w:hint="eastAsia"/>
                <w:sz w:val="16"/>
                <w:szCs w:val="16"/>
              </w:rPr>
              <w:t>采购期限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tc>
        <w:tc>
          <w:tcPr>
            <w:tcW w:w="825" w:type="dxa"/>
          </w:tcPr>
          <w:p/>
        </w:tc>
        <w:tc>
          <w:tcPr>
            <w:tcW w:w="645" w:type="dxa"/>
          </w:tcPr>
          <w:p/>
        </w:tc>
        <w:tc>
          <w:tcPr>
            <w:tcW w:w="570" w:type="dxa"/>
          </w:tcPr>
          <w:p/>
        </w:tc>
        <w:tc>
          <w:tcPr>
            <w:tcW w:w="684" w:type="dxa"/>
          </w:tcPr>
          <w:p/>
        </w:tc>
        <w:tc>
          <w:tcPr>
            <w:tcW w:w="675" w:type="dxa"/>
          </w:tcPr>
          <w:p/>
        </w:tc>
        <w:tc>
          <w:tcPr>
            <w:tcW w:w="660" w:type="dxa"/>
          </w:tcPr>
          <w:p/>
        </w:tc>
        <w:tc>
          <w:tcPr>
            <w:tcW w:w="900" w:type="dxa"/>
          </w:tcPr>
          <w:p/>
        </w:tc>
        <w:tc>
          <w:tcPr>
            <w:tcW w:w="945" w:type="dxa"/>
          </w:tcPr>
          <w:p/>
        </w:tc>
        <w:tc>
          <w:tcPr>
            <w:tcW w:w="1086" w:type="dxa"/>
          </w:tcPr>
          <w:p/>
        </w:tc>
        <w:tc>
          <w:tcPr>
            <w:tcW w:w="930" w:type="dxa"/>
          </w:tcPr>
          <w:p/>
        </w:tc>
        <w:tc>
          <w:tcPr>
            <w:tcW w:w="870" w:type="dxa"/>
          </w:tcPr>
          <w:p/>
        </w:tc>
      </w:tr>
    </w:tbl>
    <w:p>
      <w:pPr>
        <w:pStyle w:val="2"/>
        <w:rPr>
          <w:rFonts w:hint="default"/>
          <w:lang w:bidi="zh-CN"/>
        </w:rPr>
      </w:pPr>
    </w:p>
    <w:p>
      <w:pPr>
        <w:numPr>
          <w:ilvl w:val="255"/>
          <w:numId w:val="0"/>
        </w:numPr>
        <w:rPr>
          <w:bCs/>
        </w:rPr>
      </w:pPr>
      <w:r>
        <w:rPr>
          <w:rFonts w:ascii="Times New Roman" w:eastAsiaTheme="minorEastAsia"/>
          <w:lang w:val="en-US"/>
        </w:rPr>
        <w:br w:type="page"/>
      </w:r>
    </w:p>
    <w:p>
      <w:pPr>
        <w:pStyle w:val="4"/>
        <w:rPr>
          <w:lang w:val="en-US"/>
        </w:rPr>
      </w:pPr>
      <w:r>
        <w:rPr>
          <w:rFonts w:hint="eastAsia"/>
          <w:lang w:val="en-US"/>
        </w:rPr>
        <w:t>附表1</w:t>
      </w:r>
    </w:p>
    <w:p>
      <w:pPr>
        <w:pStyle w:val="4"/>
        <w:jc w:val="center"/>
        <w:rPr>
          <w:lang w:val="en-US"/>
        </w:rPr>
      </w:pPr>
      <w:r>
        <w:rPr>
          <w:rFonts w:hint="eastAsia"/>
          <w:lang w:val="en-US"/>
        </w:rPr>
        <w:t>头孢氨苄1类A采购单</w:t>
      </w:r>
      <w:r>
        <w:rPr>
          <w:lang w:val="en-US"/>
        </w:rPr>
        <w:t>采购单明细表（</w:t>
      </w:r>
      <w:r>
        <w:rPr>
          <w:rFonts w:hint="eastAsia"/>
          <w:lang w:val="en-US"/>
        </w:rPr>
        <w:t>联盟地区</w:t>
      </w:r>
      <w:r>
        <w:rPr>
          <w:lang w:val="en-US"/>
        </w:rPr>
        <w:t>）</w:t>
      </w:r>
    </w:p>
    <w:p>
      <w:pPr>
        <w:pStyle w:val="7"/>
        <w:tabs>
          <w:tab w:val="left" w:pos="6151"/>
        </w:tabs>
        <w:rPr>
          <w:rFonts w:ascii="Times New Roman" w:eastAsiaTheme="minorEastAsia"/>
          <w:lang w:val="en-US"/>
        </w:rPr>
      </w:pPr>
    </w:p>
    <w:tbl>
      <w:tblPr>
        <w:tblStyle w:val="13"/>
        <w:tblW w:w="9840" w:type="dxa"/>
        <w:jc w:val="center"/>
        <w:tblLayout w:type="fixed"/>
        <w:tblCellMar>
          <w:top w:w="0" w:type="dxa"/>
          <w:left w:w="0" w:type="dxa"/>
          <w:bottom w:w="0" w:type="dxa"/>
          <w:right w:w="0" w:type="dxa"/>
        </w:tblCellMar>
      </w:tblPr>
      <w:tblGrid>
        <w:gridCol w:w="585"/>
        <w:gridCol w:w="1260"/>
        <w:gridCol w:w="1260"/>
        <w:gridCol w:w="825"/>
        <w:gridCol w:w="1230"/>
        <w:gridCol w:w="3885"/>
        <w:gridCol w:w="795"/>
      </w:tblGrid>
      <w:tr>
        <w:tblPrEx>
          <w:tblCellMar>
            <w:top w:w="0" w:type="dxa"/>
            <w:left w:w="0" w:type="dxa"/>
            <w:bottom w:w="0" w:type="dxa"/>
            <w:right w:w="0"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类别</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品种名称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对应      剂型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规格</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生产企业</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备注</w:t>
            </w: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1类A采购单</w:t>
            </w:r>
            <w:r>
              <w:rPr>
                <w:rFonts w:hint="eastAsia" w:cs="华文中宋" w:asciiTheme="minorEastAsia" w:hAnsiTheme="minorEastAsia" w:eastAsiaTheme="minorEastAsia"/>
                <w:color w:val="000000"/>
                <w:sz w:val="20"/>
                <w:szCs w:val="20"/>
                <w:lang w:val="en-US" w:bidi="ar"/>
              </w:rPr>
              <w:br w:type="textWrapping"/>
            </w:r>
            <w:r>
              <w:rPr>
                <w:rFonts w:hint="eastAsia" w:cs="华文中宋" w:asciiTheme="minorEastAsia" w:hAnsiTheme="minorEastAsia" w:eastAsiaTheme="minorEastAsia"/>
                <w:color w:val="000000"/>
                <w:sz w:val="20"/>
                <w:szCs w:val="20"/>
                <w:lang w:val="en-US" w:bidi="ar"/>
              </w:rPr>
              <w:t>（过评产品）</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头孢氨苄     口服常释剂型</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胶囊剂</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湖南科伦制药有限公司</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已过评</w:t>
            </w: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华北制药河北华民药业有限责任公司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3</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华中药业股份有限公司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4</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山东新华制药股份有限公司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5</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上海福达制药有限公司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6</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上海新亚药业闵行有限公司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7</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石药集团欧意药业有限公司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8</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特一药业集团股份有限公司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9</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湖南科伦制药有限公司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华北制药河北华民药业有限责任公司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11</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山东罗欣药业集团股份有限公司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12</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山东新华制药股份有限公司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13</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石药集团欧意药业有限公司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14</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扬子江药业集团有限公司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15</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长春迪瑞制药有限公司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16</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湖南科伦制药有限公司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17</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山东罗欣药业集团股份有限公司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18</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片剂</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山东新华制药股份有限公司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19</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山东新华制药股份有限公司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头孢氨苄      颗粒剂</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颗粒剂</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山东鲁抗医药股份有限公司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21</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rPr>
                <w:rFonts w:cs="华文中宋" w:asciiTheme="minorEastAsia" w:hAnsiTheme="minorEastAsia" w:eastAsiaTheme="minorEastAsia"/>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6" w:lineRule="auto"/>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山东鲁抗医药股份有限公司</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6" w:lineRule="auto"/>
              <w:jc w:val="center"/>
              <w:rPr>
                <w:rFonts w:cs="华文中宋" w:asciiTheme="minorEastAsia" w:hAnsiTheme="minorEastAsia" w:eastAsiaTheme="minorEastAsia"/>
                <w:color w:val="000000"/>
                <w:sz w:val="20"/>
                <w:szCs w:val="20"/>
              </w:rPr>
            </w:pPr>
          </w:p>
        </w:tc>
      </w:tr>
    </w:tbl>
    <w:p>
      <w:pPr>
        <w:widowControl/>
        <w:autoSpaceDE/>
        <w:autoSpaceDN/>
        <w:rPr>
          <w:rFonts w:ascii="Times New Roman" w:eastAsiaTheme="minorEastAsia"/>
          <w:sz w:val="30"/>
          <w:szCs w:val="30"/>
          <w:lang w:val="en-US"/>
        </w:rPr>
      </w:pPr>
      <w:r>
        <w:rPr>
          <w:rFonts w:ascii="Times New Roman" w:eastAsiaTheme="minorEastAsia"/>
          <w:lang w:val="en-US"/>
        </w:rPr>
        <w:br w:type="page"/>
      </w:r>
    </w:p>
    <w:p>
      <w:pPr>
        <w:pStyle w:val="4"/>
        <w:rPr>
          <w:lang w:val="en-US"/>
        </w:rPr>
      </w:pPr>
      <w:r>
        <w:rPr>
          <w:rFonts w:hint="eastAsia"/>
          <w:lang w:val="en-US"/>
        </w:rPr>
        <w:t>附表2</w:t>
      </w:r>
    </w:p>
    <w:p>
      <w:pPr>
        <w:pStyle w:val="4"/>
        <w:jc w:val="center"/>
        <w:rPr>
          <w:lang w:val="en-US"/>
        </w:rPr>
      </w:pPr>
      <w:r>
        <w:rPr>
          <w:rFonts w:hint="eastAsia"/>
          <w:lang w:val="en-US"/>
        </w:rPr>
        <w:t>头孢氨苄1类B</w:t>
      </w:r>
      <w:r>
        <w:rPr>
          <w:lang w:val="en-US"/>
        </w:rPr>
        <w:t>采购单明细表（</w:t>
      </w:r>
      <w:r>
        <w:rPr>
          <w:rFonts w:hint="eastAsia"/>
          <w:lang w:val="en-US"/>
        </w:rPr>
        <w:t>联盟地区</w:t>
      </w:r>
      <w:r>
        <w:rPr>
          <w:lang w:val="en-US"/>
        </w:rPr>
        <w:t>）</w:t>
      </w:r>
    </w:p>
    <w:p>
      <w:pPr>
        <w:pStyle w:val="7"/>
        <w:tabs>
          <w:tab w:val="left" w:pos="6151"/>
        </w:tabs>
        <w:rPr>
          <w:rFonts w:ascii="Times New Roman" w:eastAsiaTheme="minorEastAsia"/>
          <w:lang w:val="en-US"/>
        </w:rPr>
      </w:pPr>
    </w:p>
    <w:tbl>
      <w:tblPr>
        <w:tblStyle w:val="13"/>
        <w:tblW w:w="10277" w:type="dxa"/>
        <w:jc w:val="center"/>
        <w:tblLayout w:type="fixed"/>
        <w:tblCellMar>
          <w:top w:w="0" w:type="dxa"/>
          <w:left w:w="0" w:type="dxa"/>
          <w:bottom w:w="0" w:type="dxa"/>
          <w:right w:w="0" w:type="dxa"/>
        </w:tblCellMar>
      </w:tblPr>
      <w:tblGrid>
        <w:gridCol w:w="630"/>
        <w:gridCol w:w="1187"/>
        <w:gridCol w:w="1350"/>
        <w:gridCol w:w="795"/>
        <w:gridCol w:w="1095"/>
        <w:gridCol w:w="4500"/>
        <w:gridCol w:w="720"/>
      </w:tblGrid>
      <w:tr>
        <w:tblPrEx>
          <w:tblCellMar>
            <w:top w:w="0" w:type="dxa"/>
            <w:left w:w="0" w:type="dxa"/>
            <w:bottom w:w="0" w:type="dxa"/>
            <w:right w:w="0" w:type="dxa"/>
          </w:tblCellMar>
        </w:tblPrEx>
        <w:trPr>
          <w:trHeight w:val="51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类别</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品种名称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对应     剂型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规格</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生产企业</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备注</w:t>
            </w: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1类B采购单</w:t>
            </w:r>
            <w:r>
              <w:rPr>
                <w:rFonts w:hint="eastAsia" w:cs="华文中宋" w:asciiTheme="minorEastAsia" w:hAnsiTheme="minorEastAsia" w:eastAsiaTheme="minorEastAsia"/>
                <w:color w:val="000000"/>
                <w:sz w:val="20"/>
                <w:szCs w:val="20"/>
                <w:lang w:val="en-US" w:bidi="ar"/>
              </w:rPr>
              <w:br w:type="textWrapping"/>
            </w:r>
            <w:r>
              <w:rPr>
                <w:rFonts w:hint="eastAsia" w:cs="华文中宋" w:asciiTheme="minorEastAsia" w:hAnsiTheme="minorEastAsia" w:eastAsiaTheme="minorEastAsia"/>
                <w:color w:val="000000"/>
                <w:sz w:val="20"/>
                <w:szCs w:val="20"/>
                <w:lang w:val="en-US" w:bidi="ar"/>
              </w:rPr>
              <w:t>（未过评产品）</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头孢氨苄          口服常释剂型</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片剂</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云南昊邦制药有限公司</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未过评</w:t>
            </w: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云南铭鼎药业有限公司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云南植物药业有限公司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长春迪瑞制药有限公司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长春海外制药集团有限公司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长春新安药业有限公司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浙江巨泰药业有限公司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重庆迪康长江制药有限公司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珠海联邦制药股份有限公司中山分公司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北京诚济制药股份有限公司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北京曙光药业有限责任公司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北京太洋药业股份有限公司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北京中新药业股份有限公司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多多药业有限公司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甘肃兰药药业有限公司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广东彼迪药业有限公司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广西邦琪药业集团有限公司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广西邦琪药业集团有限公司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广西鸿博药业有限公司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哈尔滨瀚钧现代制药有限公司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哈高科白天鹅药业集团有限公司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哈药集团制药总厂</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黑龙江鼎恒升药业有限公司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黑龙江福和制药集团股份有限公司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华北制药河北华民药业有限责任公司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华润双鹤药业股份有限公司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吉林道君药业股份有限公司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吉林济邦药业有限公司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吉林省松辽制药有限公司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30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吉林省长恒药业有限公司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31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吉林市吴太感康药业有限公司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32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吉林万通药业有限公司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33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吉林益民堂制药有限公司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34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江西聚仁堂药业有限公司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35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江西南昌济生制药厂</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36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江西南昌桑海制药有限责任公司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56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华文中宋" w:asciiTheme="minorEastAsia" w:hAnsiTheme="minorEastAsia" w:eastAsiaTheme="minorEastAsia"/>
                <w:b/>
                <w:color w:val="000000"/>
                <w:sz w:val="20"/>
                <w:szCs w:val="20"/>
                <w:lang w:val="en-US" w:eastAsia="zh-CN" w:bidi="zh-CN"/>
              </w:rPr>
            </w:pPr>
            <w:r>
              <w:rPr>
                <w:rFonts w:hint="eastAsia" w:cs="华文中宋" w:asciiTheme="minorEastAsia" w:hAnsiTheme="minorEastAsia" w:eastAsiaTheme="minorEastAsia"/>
                <w:b/>
                <w:color w:val="000000"/>
                <w:sz w:val="20"/>
                <w:szCs w:val="20"/>
                <w:lang w:val="en-US"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lang w:val="zh-CN" w:eastAsia="zh-CN" w:bidi="zh-CN"/>
              </w:rPr>
            </w:pPr>
            <w:r>
              <w:rPr>
                <w:rFonts w:hint="eastAsia" w:cs="华文中宋" w:asciiTheme="minorEastAsia" w:hAnsiTheme="minorEastAsia" w:eastAsiaTheme="minorEastAsia"/>
                <w:b/>
                <w:color w:val="000000"/>
                <w:sz w:val="20"/>
                <w:szCs w:val="20"/>
                <w:lang w:val="en-US" w:bidi="ar"/>
              </w:rPr>
              <w:t>类别</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lang w:val="zh-CN" w:eastAsia="zh-CN" w:bidi="zh-CN"/>
              </w:rPr>
            </w:pPr>
            <w:r>
              <w:rPr>
                <w:rFonts w:hint="eastAsia" w:cs="华文中宋" w:asciiTheme="minorEastAsia" w:hAnsiTheme="minorEastAsia" w:eastAsiaTheme="minorEastAsia"/>
                <w:b/>
                <w:color w:val="000000"/>
                <w:sz w:val="20"/>
                <w:szCs w:val="20"/>
                <w:lang w:val="en-US" w:bidi="ar"/>
              </w:rPr>
              <w:t>品种名称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lang w:val="zh-CN" w:eastAsia="zh-CN" w:bidi="zh-CN"/>
              </w:rPr>
            </w:pPr>
            <w:r>
              <w:rPr>
                <w:rFonts w:hint="eastAsia" w:cs="华文中宋" w:asciiTheme="minorEastAsia" w:hAnsiTheme="minorEastAsia" w:eastAsiaTheme="minorEastAsia"/>
                <w:b/>
                <w:color w:val="000000"/>
                <w:sz w:val="20"/>
                <w:szCs w:val="20"/>
                <w:lang w:val="en-US" w:bidi="ar"/>
              </w:rPr>
              <w:t>对应     剂型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华文中宋" w:asciiTheme="minorEastAsia" w:hAnsiTheme="minorEastAsia" w:eastAsiaTheme="minorEastAsia"/>
                <w:b/>
                <w:color w:val="000000"/>
                <w:sz w:val="20"/>
                <w:szCs w:val="20"/>
                <w:lang w:val="en-US" w:eastAsia="zh-CN" w:bidi="zh-CN"/>
              </w:rPr>
            </w:pPr>
            <w:r>
              <w:rPr>
                <w:rFonts w:hint="eastAsia" w:cs="华文中宋" w:asciiTheme="minorEastAsia" w:hAnsiTheme="minorEastAsia" w:eastAsiaTheme="minorEastAsia"/>
                <w:b/>
                <w:color w:val="000000"/>
                <w:sz w:val="20"/>
                <w:szCs w:val="20"/>
                <w:lang w:val="en-US" w:bidi="ar"/>
              </w:rPr>
              <w:t>规格</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华文中宋" w:asciiTheme="minorEastAsia" w:hAnsiTheme="minorEastAsia" w:eastAsiaTheme="minorEastAsia"/>
                <w:b/>
                <w:color w:val="000000"/>
                <w:sz w:val="20"/>
                <w:szCs w:val="20"/>
                <w:lang w:val="en-US" w:eastAsia="zh-CN" w:bidi="zh-CN"/>
              </w:rPr>
            </w:pPr>
            <w:r>
              <w:rPr>
                <w:rFonts w:hint="eastAsia" w:cs="华文中宋" w:asciiTheme="minorEastAsia" w:hAnsiTheme="minorEastAsia" w:eastAsiaTheme="minorEastAsia"/>
                <w:b/>
                <w:color w:val="000000"/>
                <w:sz w:val="20"/>
                <w:szCs w:val="20"/>
                <w:lang w:val="en-US" w:bidi="ar"/>
              </w:rPr>
              <w:t>生产企业</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lang w:val="zh-CN" w:eastAsia="zh-CN" w:bidi="zh-CN"/>
              </w:rPr>
            </w:pPr>
            <w:r>
              <w:rPr>
                <w:rFonts w:hint="eastAsia" w:cs="华文中宋" w:asciiTheme="minorEastAsia" w:hAnsiTheme="minorEastAsia" w:eastAsiaTheme="minorEastAsia"/>
                <w:b/>
                <w:color w:val="000000"/>
                <w:sz w:val="20"/>
                <w:szCs w:val="20"/>
                <w:lang w:val="en-US" w:bidi="ar"/>
              </w:rPr>
              <w:t>备注</w:t>
            </w: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37</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1类B采购单</w:t>
            </w:r>
            <w:r>
              <w:rPr>
                <w:rFonts w:hint="eastAsia" w:cs="华文中宋" w:asciiTheme="minorEastAsia" w:hAnsiTheme="minorEastAsia" w:eastAsiaTheme="minorEastAsia"/>
                <w:color w:val="000000"/>
                <w:sz w:val="20"/>
                <w:szCs w:val="20"/>
                <w:lang w:val="en-US" w:bidi="ar"/>
              </w:rPr>
              <w:br w:type="textWrapping"/>
            </w:r>
            <w:r>
              <w:rPr>
                <w:rFonts w:hint="eastAsia" w:cs="华文中宋" w:asciiTheme="minorEastAsia" w:hAnsiTheme="minorEastAsia" w:eastAsiaTheme="minorEastAsia"/>
                <w:color w:val="000000"/>
                <w:sz w:val="20"/>
                <w:szCs w:val="20"/>
                <w:lang w:val="en-US" w:bidi="ar"/>
              </w:rPr>
              <w:t>（未过评产品）</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头孢氨苄      口服常释剂型</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片剂</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江西南昌制药有限公司</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rPr>
            </w:pPr>
            <w:r>
              <w:rPr>
                <w:rFonts w:hint="eastAsia" w:cs="华文中宋" w:asciiTheme="minorEastAsia" w:hAnsiTheme="minorEastAsia" w:eastAsiaTheme="minorEastAsia"/>
                <w:color w:val="000000"/>
                <w:sz w:val="20"/>
                <w:szCs w:val="20"/>
                <w:lang w:val="en-US" w:bidi="ar"/>
              </w:rPr>
              <w:t>未过评</w:t>
            </w: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38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昆药集团股份有限公司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39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乐普药业(北京)有限责任公司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40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辽宁王牌速效制药有限公司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41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辽宁药联制药有限公司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42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牡丹江灵泰药业股份有限公司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43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南京白敬宇制药有限责任公司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44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齐鲁制药有限公司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45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山东鲁抗医药股份有限公司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46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山东益康药业股份有限公司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47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汕头经济特区鮀滨制药厂</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48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上海美优制药有限公司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49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石药集团欧意药业有限公司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50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石药集团中诺药业(石家庄)有限公司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51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天津市中央药业有限公司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52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通化茂祥制药有限公司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53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悦康药业集团股份有限公司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54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云南白药集团股份有限公司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55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牡丹江灵泰药业股份有限公司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56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青岛黄海制药有限责任公司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57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龙晖药业有限公司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58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唐山市福乐药业有限公司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59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唐山集川药业利康制药有限公司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60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唐山凯源药业有限公司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61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天津市津兰药业有限公司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62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天津华津制药有限公司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63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石家庄市华新药业有限责任公司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64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石药集团欧意药业有限公司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65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神威药业集团有限公司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66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西南药业股份有限公司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67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悦康药业集团股份有限公司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68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万邦德制药集团有限公司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69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云南白药集团股份有限公司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70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云南昊邦制药有限公司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71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天津医药集团津康制药有限公司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72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天津太平洋制药有限公司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73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天津市中央药业有限公司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74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长春新安药业有限公司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75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长春海外制药集团有限公司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76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浙江莎普爱思药业股份有限公司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77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长春长红制药有限公司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2"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78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长春迪瑞制药有限公司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51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类别</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品种名称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对应   剂型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规格</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生产企业</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备注</w:t>
            </w: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79</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1类B采购单</w:t>
            </w:r>
            <w:r>
              <w:rPr>
                <w:rFonts w:hint="eastAsia" w:cs="华文中宋" w:asciiTheme="minorEastAsia" w:hAnsiTheme="minorEastAsia" w:eastAsiaTheme="minorEastAsia"/>
                <w:color w:val="000000"/>
                <w:sz w:val="20"/>
                <w:szCs w:val="20"/>
                <w:lang w:val="en-US" w:bidi="ar"/>
              </w:rPr>
              <w:br w:type="textWrapping"/>
            </w:r>
            <w:r>
              <w:rPr>
                <w:rFonts w:hint="eastAsia" w:cs="华文中宋" w:asciiTheme="minorEastAsia" w:hAnsiTheme="minorEastAsia" w:eastAsiaTheme="minorEastAsia"/>
                <w:color w:val="000000"/>
                <w:sz w:val="20"/>
                <w:szCs w:val="20"/>
                <w:lang w:val="en-US" w:bidi="ar"/>
              </w:rPr>
              <w:t>（未过评产品）</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头孢氨苄      口服常释剂型</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片剂</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云南植物药业有限公司</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rPr>
            </w:pPr>
            <w:r>
              <w:rPr>
                <w:rFonts w:hint="eastAsia" w:cs="华文中宋" w:asciiTheme="minorEastAsia" w:hAnsiTheme="minorEastAsia" w:eastAsiaTheme="minorEastAsia"/>
                <w:color w:val="000000"/>
                <w:sz w:val="20"/>
                <w:szCs w:val="20"/>
                <w:lang w:val="en-US" w:bidi="ar"/>
              </w:rPr>
              <w:t>未过评</w:t>
            </w: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80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云南铭鼎药业有限公司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81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广西邦琪药业集团有限公司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82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广西邦琪药业集团有限公司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83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广西鸿博药业有限公司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84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广州白云山光华制药股份有限公司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85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广州白云山医药集团股份有限公司白云山制药总厂</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86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国药集团汕头金石制药有限公司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87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哈尔滨华瑞生化药业有限责任公司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88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哈尔滨凯程制药有限公司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89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哈尔滨仁皇药业有限公司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90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哈尔滨三三药业有限公司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91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哈尔滨市龙生北药生物工程股份有限公司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92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河北三石药业股份有限公司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93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河南省安阳市第一制药厂</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94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黑龙江百泰药业有限公司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95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黑龙江鼎恒升药业有限公司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96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黑龙江福和制药集团股份有限公司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97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黑龙江康麦斯药业有限公司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98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黑龙江龙德药业有限公司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99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黑龙江诺捷制药有限责任公司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100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黑龙江瑞全制药有限公司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101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黑龙江乌苏里江制药有限公司哈尔滨分公司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102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湖南科伦制药有限公司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103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华北制药河北华民药业有限责任公司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104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华北制药河北华民药业有限责任公司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105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华润双鹤药业股份有限公司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106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华润紫竹药业有限公司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107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华润紫竹药业有限公司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108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吉林济邦药业有限公司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109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吉林省华侨药业集团有限公司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110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吉林省利华制药有限公司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111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吉林省松辽制药有限公司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112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吉林省长恒药业有限公司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113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吉林市吴太感康药业有限公司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114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吉林益民堂制药有限公司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115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江西聚仁堂药业有限公司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116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江西南昌济生制药厂</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117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江西南昌桑海制药有限责任公司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29"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118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江西南昌制药有限公司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51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类别</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品种名称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对应     剂型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规格</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生产企业</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备注</w:t>
            </w: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119</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1类B采购单</w:t>
            </w:r>
            <w:r>
              <w:rPr>
                <w:rFonts w:hint="eastAsia" w:cs="华文中宋" w:asciiTheme="minorEastAsia" w:hAnsiTheme="minorEastAsia" w:eastAsiaTheme="minorEastAsia"/>
                <w:color w:val="000000"/>
                <w:sz w:val="20"/>
                <w:szCs w:val="20"/>
                <w:lang w:val="en-US" w:bidi="ar"/>
              </w:rPr>
              <w:br w:type="textWrapping"/>
            </w:r>
            <w:r>
              <w:rPr>
                <w:rFonts w:hint="eastAsia" w:cs="华文中宋" w:asciiTheme="minorEastAsia" w:hAnsiTheme="minorEastAsia" w:eastAsiaTheme="minorEastAsia"/>
                <w:color w:val="000000"/>
                <w:sz w:val="20"/>
                <w:szCs w:val="20"/>
                <w:lang w:val="en-US" w:bidi="ar"/>
              </w:rPr>
              <w:t>（未过评产品）</w:t>
            </w:r>
          </w:p>
        </w:tc>
        <w:tc>
          <w:tcPr>
            <w:tcW w:w="13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头孢氨苄      口服常释剂型</w:t>
            </w:r>
          </w:p>
        </w:tc>
        <w:tc>
          <w:tcPr>
            <w:tcW w:w="7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片剂</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昆药集团股份有限公司</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rPr>
            </w:pPr>
            <w:r>
              <w:rPr>
                <w:rFonts w:hint="eastAsia" w:cs="华文中宋" w:asciiTheme="minorEastAsia" w:hAnsiTheme="minorEastAsia" w:eastAsiaTheme="minorEastAsia"/>
                <w:color w:val="000000"/>
                <w:sz w:val="20"/>
                <w:szCs w:val="20"/>
                <w:lang w:val="en-US" w:bidi="ar"/>
              </w:rPr>
              <w:t>未过评</w:t>
            </w: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120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乐普药业(北京)有限责任公司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121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辽宁药联制药有限公司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122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北京北大药业有限公司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123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北京诚济制药股份有限公司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124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北京京丰制药集团有限公司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125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北京赛而生物药业有限公司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126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北京市燕京药业有限公司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127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北京曙光药业有限责任公司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128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北京顺鑫祥云药业有限责任公司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129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北京太洋药业股份有限公司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130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北京益民药业有限公司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131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北京中新药业股份有限公司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132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北京中新药业股份有限公司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133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丹东医创药业有限责任公司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134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多多药业有限公司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135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福安药业集团烟台只楚药业有限公司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136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福州海王福药制药有限公司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137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哈高科白天鹅药业集团有限公司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138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哈药集团三精明水药业有限公司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139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哈药集团制药总厂</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140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哈药集团制药总厂</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141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海南三叶制药厂有限公司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142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海润(秦皇岛)药业有限公司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143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清远华能制药有限公司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144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山东鲁抗医药股份有限公司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145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山东益康药业股份有限公司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146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山西好医生药业有限公司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147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上海华源安徽仁济制药有限公司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148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重庆迪康长江制药有限公司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149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重庆华创药业有限公司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150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珠海联邦制药股份有限公司中山分公司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151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甘肃兰药药业有限公司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152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清远华能制药有限公司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153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头孢氨苄      颗粒剂</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颗粒剂</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广东新峰药业股份有限公司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154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广西邦琪药业集团有限公司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155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广西鸿博药业有限公司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156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广西两面针亿康药业股份有限公司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157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广州白云山医药集团股份有限公司白云山制药总厂</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34"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158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国药集团汕头金石制药有限公司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51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类别</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品种名称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对应      剂型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规格</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生产企业</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备注</w:t>
            </w: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159</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1类B采购单</w:t>
            </w:r>
            <w:r>
              <w:rPr>
                <w:rFonts w:hint="eastAsia" w:cs="华文中宋" w:asciiTheme="minorEastAsia" w:hAnsiTheme="minorEastAsia" w:eastAsiaTheme="minorEastAsia"/>
                <w:color w:val="000000"/>
                <w:sz w:val="20"/>
                <w:szCs w:val="20"/>
                <w:lang w:val="en-US" w:bidi="ar"/>
              </w:rPr>
              <w:br w:type="textWrapping"/>
            </w:r>
            <w:r>
              <w:rPr>
                <w:rFonts w:hint="eastAsia" w:cs="华文中宋" w:asciiTheme="minorEastAsia" w:hAnsiTheme="minorEastAsia" w:eastAsiaTheme="minorEastAsia"/>
                <w:color w:val="000000"/>
                <w:sz w:val="20"/>
                <w:szCs w:val="20"/>
                <w:lang w:val="en-US" w:bidi="ar"/>
              </w:rPr>
              <w:t>（未过评产品）</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头孢氨苄      颗粒剂</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颗粒剂</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海南省金岛制药厂</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rPr>
            </w:pPr>
            <w:r>
              <w:rPr>
                <w:rFonts w:hint="eastAsia" w:cs="华文中宋" w:asciiTheme="minorEastAsia" w:hAnsiTheme="minorEastAsia" w:eastAsiaTheme="minorEastAsia"/>
                <w:color w:val="000000"/>
                <w:sz w:val="20"/>
                <w:szCs w:val="20"/>
                <w:lang w:val="en-US" w:bidi="ar"/>
              </w:rPr>
              <w:t>未过评</w:t>
            </w: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160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湖南康尔佳生物医药科技有限公司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161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华润双鹤药业股份有限公司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162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华裕(无锡)制药有限公司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163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黄山盛基药业有限公司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164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江西南昌济生制药厂</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165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金日制药(中国)有限公司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166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葵花药业集团(衡水)得菲尔有限公司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167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昆明积大制药股份有限公司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168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山东益康药业股份有限公司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169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山西同达药业有限公司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170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上海华源长富药业集团旌德制药有限公司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171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神威药业集团有限公司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172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石家庄康力药业有限公司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173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石药集团欧意药业有限公司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174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安徽安科恒益药业有限公司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175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北京曙光药业有限责任公司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176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福州海王福药制药有限公司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177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唐山集川药业利康制药有限公司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178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涛生制药有限公司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179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天津儿童药业有限公司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180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天津太平洋制药有限公司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181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云南白药集团股份有限公司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182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云南昊邦制药有限公司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183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浙江国镜药业有限公司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184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浙江京新药业股份有限公司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185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上海中瀚投资集团宁国国安邦宁药业有限公司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186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神威药业集团有限公司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187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圣大(张家口)药业有限公司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188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石家庄市华新药业有限责任公司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189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石药集团欧意药业有限公司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190</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涛生制药有限公司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191</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天津儿童药业有限公司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192</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天津太平洋制药有限公司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193</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天津医药集团津康制药有限公司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194</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宜昌人福药业有限责任公司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195</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云南白药集团股份有限公司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196</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云南昊邦制药有限公司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197</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安徽安科恒益药业有限公司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198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安徽省润康药业有限公司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1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199</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北京诚济制药股份有限公司</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51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类别</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品种名称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华文中宋" w:asciiTheme="minorEastAsia" w:hAnsiTheme="minorEastAsia" w:eastAsiaTheme="minorEastAsia"/>
                <w:b/>
                <w:color w:val="000000"/>
                <w:sz w:val="20"/>
                <w:szCs w:val="20"/>
                <w:lang w:val="en-US" w:bidi="ar"/>
              </w:rPr>
            </w:pPr>
            <w:r>
              <w:rPr>
                <w:rFonts w:hint="eastAsia" w:cs="华文中宋" w:asciiTheme="minorEastAsia" w:hAnsiTheme="minorEastAsia" w:eastAsiaTheme="minorEastAsia"/>
                <w:b/>
                <w:color w:val="000000"/>
                <w:sz w:val="20"/>
                <w:szCs w:val="20"/>
                <w:lang w:val="en-US" w:bidi="ar"/>
              </w:rPr>
              <w:t>对应</w:t>
            </w:r>
          </w:p>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剂型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规格</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生产企业</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rPr>
            </w:pPr>
            <w:r>
              <w:rPr>
                <w:rFonts w:hint="eastAsia" w:cs="华文中宋" w:asciiTheme="minorEastAsia" w:hAnsiTheme="minorEastAsia" w:eastAsiaTheme="minorEastAsia"/>
                <w:b/>
                <w:color w:val="000000"/>
                <w:sz w:val="20"/>
                <w:szCs w:val="20"/>
                <w:lang w:val="en-US" w:bidi="ar"/>
              </w:rPr>
              <w:t>备注</w:t>
            </w: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200</w:t>
            </w:r>
          </w:p>
        </w:tc>
        <w:tc>
          <w:tcPr>
            <w:tcW w:w="118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1类B采购单</w:t>
            </w:r>
            <w:r>
              <w:rPr>
                <w:rFonts w:hint="eastAsia" w:asciiTheme="majorEastAsia" w:hAnsiTheme="majorEastAsia" w:eastAsiaTheme="majorEastAsia" w:cstheme="majorEastAsia"/>
                <w:color w:val="000000"/>
                <w:sz w:val="20"/>
                <w:szCs w:val="20"/>
                <w:lang w:val="en-US" w:bidi="ar"/>
              </w:rPr>
              <w:br w:type="textWrapping"/>
            </w:r>
            <w:r>
              <w:rPr>
                <w:rFonts w:hint="eastAsia" w:asciiTheme="majorEastAsia" w:hAnsiTheme="majorEastAsia" w:eastAsiaTheme="majorEastAsia" w:cstheme="majorEastAsia"/>
                <w:color w:val="000000"/>
                <w:sz w:val="20"/>
                <w:szCs w:val="20"/>
                <w:lang w:val="en-US" w:bidi="ar"/>
              </w:rPr>
              <w:t>（未过评产品）</w:t>
            </w:r>
          </w:p>
        </w:tc>
        <w:tc>
          <w:tcPr>
            <w:tcW w:w="1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头孢氨苄      颗粒剂</w:t>
            </w:r>
          </w:p>
        </w:tc>
        <w:tc>
          <w:tcPr>
            <w:tcW w:w="79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颗粒剂</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北京市燕京药业有限公司</w:t>
            </w:r>
          </w:p>
        </w:tc>
        <w:tc>
          <w:tcPr>
            <w:tcW w:w="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rPr>
            </w:pPr>
            <w:r>
              <w:rPr>
                <w:rFonts w:hint="eastAsia" w:cs="华文中宋" w:asciiTheme="minorEastAsia" w:hAnsiTheme="minorEastAsia" w:eastAsiaTheme="minorEastAsia"/>
                <w:color w:val="000000"/>
                <w:sz w:val="20"/>
                <w:szCs w:val="20"/>
                <w:lang w:val="en-US" w:bidi="ar"/>
              </w:rPr>
              <w:t>未过评</w:t>
            </w: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201</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北京首儿药厂</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202</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北京曙光药业有限责任公司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203</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北京优你特药业有限公司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204</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迪沙药业集团有限公司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205</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甘肃省西峰制药有限责任公司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206</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广东彼迪药业有限公司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207</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广东香山堂制药有限公司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208</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广西邦琪药业集团有限公司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209</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广西鸿博药业有限公司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210</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广西两面针亿康药业股份有限公司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211</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广州白云山医药集团股份有限公司白云山制药总厂</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212</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广州白云山医药集团股份有限公司白云山制药总厂</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213</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国药集团汕头金石制药有限公司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214</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哈药集团制药总厂</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215</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河北三石药业股份有限公司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216</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湖南康尔佳生物医药科技有限公司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217</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湖南科伦制药有限公司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218</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湖南中和制药有限公司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219</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华北制药河北华民药业有限责任公司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220</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华北制药秦皇岛有限公司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221</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华裕(无锡)制药有限公司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222</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江西南昌济生制药厂</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223</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焦作市银河药业有限公司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224</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荆州市津奉药业发展有限公司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225</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葵花药业集团(衡水)得菲尔有限公司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226</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昆明积大制药股份有限公司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227</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乐普药业(北京)有限责任公司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228</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宁波大红鹰药业股份有限公司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229</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山东益康药业股份有限公司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230</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山东淄博新达制药有限公司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231</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山西好医生药业有限公司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232</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山西千汇药业有限公司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233</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上海海虹实业(集团)巢湖今辰药业有限公司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234</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上海华源安徽仁济制药有限公司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235</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上海华源长富药业集团旌德制药有限公司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236</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0.125g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上海美优制药有限公司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237</w:t>
            </w:r>
          </w:p>
        </w:tc>
        <w:tc>
          <w:tcPr>
            <w:tcW w:w="11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齐鲁制药有限公司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238</w:t>
            </w:r>
          </w:p>
        </w:tc>
        <w:tc>
          <w:tcPr>
            <w:tcW w:w="118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35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79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ajorEastAsia" w:hAnsiTheme="majorEastAsia" w:eastAsiaTheme="majorEastAsia" w:cstheme="maj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bidi="ar"/>
              </w:rPr>
              <w:t>0.25g</w:t>
            </w:r>
          </w:p>
        </w:tc>
        <w:tc>
          <w:tcPr>
            <w:tcW w:w="45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lang w:val="en-US"/>
              </w:rPr>
              <w:t>山东淄博新达制药有限公司</w:t>
            </w:r>
          </w:p>
        </w:tc>
        <w:tc>
          <w:tcPr>
            <w:tcW w:w="7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255" w:hRule="atLeast"/>
          <w:jc w:val="center"/>
        </w:trPr>
        <w:tc>
          <w:tcPr>
            <w:tcW w:w="6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华文中宋" w:asciiTheme="minorEastAsia" w:hAnsiTheme="minorEastAsia" w:eastAsiaTheme="minorEastAsia"/>
                <w:b/>
                <w:color w:val="000000"/>
                <w:sz w:val="20"/>
                <w:szCs w:val="20"/>
                <w:lang w:val="en-US" w:eastAsia="zh-CN" w:bidi="zh-CN"/>
              </w:rPr>
            </w:pPr>
            <w:r>
              <w:rPr>
                <w:rFonts w:hint="eastAsia" w:cs="华文中宋" w:asciiTheme="minorEastAsia" w:hAnsiTheme="minorEastAsia" w:eastAsiaTheme="minorEastAsia"/>
                <w:b/>
                <w:color w:val="000000"/>
                <w:sz w:val="20"/>
                <w:szCs w:val="20"/>
                <w:lang w:val="en-US" w:bidi="ar"/>
              </w:rPr>
              <w:t>序号</w:t>
            </w:r>
          </w:p>
        </w:tc>
        <w:tc>
          <w:tcPr>
            <w:tcW w:w="118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华文中宋" w:asciiTheme="minorEastAsia" w:hAnsiTheme="minorEastAsia" w:eastAsiaTheme="minorEastAsia"/>
                <w:b/>
                <w:color w:val="000000"/>
                <w:sz w:val="20"/>
                <w:szCs w:val="20"/>
                <w:lang w:val="zh-CN" w:eastAsia="zh-CN" w:bidi="zh-CN"/>
              </w:rPr>
            </w:pPr>
            <w:r>
              <w:rPr>
                <w:rFonts w:hint="eastAsia" w:cs="华文中宋" w:asciiTheme="minorEastAsia" w:hAnsiTheme="minorEastAsia" w:eastAsiaTheme="minorEastAsia"/>
                <w:b/>
                <w:color w:val="000000"/>
                <w:sz w:val="20"/>
                <w:szCs w:val="20"/>
                <w:lang w:val="en-US" w:bidi="ar"/>
              </w:rPr>
              <w:t>类别</w:t>
            </w:r>
          </w:p>
        </w:tc>
        <w:tc>
          <w:tcPr>
            <w:tcW w:w="13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华文中宋" w:asciiTheme="minorEastAsia" w:hAnsiTheme="minorEastAsia" w:eastAsiaTheme="minorEastAsia"/>
                <w:b/>
                <w:color w:val="000000"/>
                <w:sz w:val="20"/>
                <w:szCs w:val="20"/>
                <w:lang w:val="zh-CN" w:eastAsia="zh-CN" w:bidi="zh-CN"/>
              </w:rPr>
            </w:pPr>
            <w:r>
              <w:rPr>
                <w:rFonts w:hint="eastAsia" w:cs="华文中宋" w:asciiTheme="minorEastAsia" w:hAnsiTheme="minorEastAsia" w:eastAsiaTheme="minorEastAsia"/>
                <w:b/>
                <w:color w:val="000000"/>
                <w:sz w:val="20"/>
                <w:szCs w:val="20"/>
                <w:lang w:val="en-US" w:bidi="ar"/>
              </w:rPr>
              <w:t>品种名称</w:t>
            </w:r>
          </w:p>
        </w:tc>
        <w:tc>
          <w:tcPr>
            <w:tcW w:w="79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cs="华文中宋" w:asciiTheme="minorEastAsia" w:hAnsiTheme="minorEastAsia" w:eastAsiaTheme="minorEastAsia"/>
                <w:b/>
                <w:color w:val="000000"/>
                <w:sz w:val="20"/>
                <w:szCs w:val="20"/>
                <w:lang w:val="en-US" w:bidi="ar"/>
              </w:rPr>
            </w:pPr>
            <w:r>
              <w:rPr>
                <w:rFonts w:hint="eastAsia" w:cs="华文中宋" w:asciiTheme="minorEastAsia" w:hAnsiTheme="minorEastAsia" w:eastAsiaTheme="minorEastAsia"/>
                <w:b/>
                <w:color w:val="000000"/>
                <w:sz w:val="20"/>
                <w:szCs w:val="20"/>
                <w:lang w:val="en-US" w:bidi="ar"/>
              </w:rPr>
              <w:t>对应</w:t>
            </w:r>
          </w:p>
          <w:p>
            <w:pPr>
              <w:widowControl/>
              <w:jc w:val="center"/>
              <w:textAlignment w:val="center"/>
              <w:rPr>
                <w:rFonts w:hint="eastAsia" w:cs="华文中宋" w:asciiTheme="minorEastAsia" w:hAnsiTheme="minorEastAsia" w:eastAsiaTheme="minorEastAsia"/>
                <w:b/>
                <w:color w:val="000000"/>
                <w:sz w:val="20"/>
                <w:szCs w:val="20"/>
                <w:lang w:val="zh-CN" w:eastAsia="zh-CN" w:bidi="zh-CN"/>
              </w:rPr>
            </w:pPr>
            <w:r>
              <w:rPr>
                <w:rFonts w:hint="eastAsia" w:cs="华文中宋" w:asciiTheme="minorEastAsia" w:hAnsiTheme="minorEastAsia" w:eastAsiaTheme="minorEastAsia"/>
                <w:b/>
                <w:color w:val="000000"/>
                <w:sz w:val="20"/>
                <w:szCs w:val="20"/>
                <w:lang w:val="en-US" w:bidi="ar"/>
              </w:rPr>
              <w:t>剂型</w:t>
            </w:r>
          </w:p>
        </w:tc>
        <w:tc>
          <w:tcPr>
            <w:tcW w:w="10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华文中宋" w:asciiTheme="minorEastAsia" w:hAnsiTheme="minorEastAsia" w:eastAsiaTheme="minorEastAsia"/>
                <w:b/>
                <w:color w:val="000000"/>
                <w:sz w:val="20"/>
                <w:szCs w:val="20"/>
                <w:lang w:val="en-US" w:eastAsia="zh-CN" w:bidi="zh-CN"/>
              </w:rPr>
            </w:pPr>
            <w:r>
              <w:rPr>
                <w:rFonts w:hint="eastAsia" w:cs="华文中宋" w:asciiTheme="minorEastAsia" w:hAnsiTheme="minorEastAsia" w:eastAsiaTheme="minorEastAsia"/>
                <w:b/>
                <w:color w:val="000000"/>
                <w:sz w:val="20"/>
                <w:szCs w:val="20"/>
                <w:lang w:val="en-US" w:bidi="ar"/>
              </w:rPr>
              <w:t>规格</w:t>
            </w:r>
          </w:p>
        </w:tc>
        <w:tc>
          <w:tcPr>
            <w:tcW w:w="45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华文中宋" w:asciiTheme="minorEastAsia" w:hAnsiTheme="minorEastAsia" w:eastAsiaTheme="minorEastAsia"/>
                <w:b/>
                <w:color w:val="000000"/>
                <w:sz w:val="20"/>
                <w:szCs w:val="20"/>
                <w:lang w:val="en-US" w:eastAsia="zh-CN" w:bidi="zh-CN"/>
              </w:rPr>
            </w:pPr>
            <w:r>
              <w:rPr>
                <w:rFonts w:hint="eastAsia" w:cs="华文中宋" w:asciiTheme="minorEastAsia" w:hAnsiTheme="minorEastAsia" w:eastAsiaTheme="minorEastAsia"/>
                <w:b/>
                <w:color w:val="000000"/>
                <w:sz w:val="20"/>
                <w:szCs w:val="20"/>
                <w:lang w:val="en-US" w:bidi="ar"/>
              </w:rPr>
              <w:t>生产企业</w:t>
            </w:r>
          </w:p>
        </w:tc>
        <w:tc>
          <w:tcPr>
            <w:tcW w:w="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b/>
                <w:color w:val="000000"/>
                <w:sz w:val="20"/>
                <w:szCs w:val="20"/>
                <w:lang w:val="zh-CN" w:eastAsia="zh-CN" w:bidi="zh-CN"/>
              </w:rPr>
            </w:pPr>
            <w:r>
              <w:rPr>
                <w:rFonts w:hint="eastAsia" w:cs="华文中宋" w:asciiTheme="minorEastAsia" w:hAnsiTheme="minorEastAsia" w:eastAsiaTheme="minorEastAsia"/>
                <w:b/>
                <w:color w:val="000000"/>
                <w:sz w:val="20"/>
                <w:szCs w:val="20"/>
                <w:lang w:val="en-US" w:bidi="ar"/>
              </w:rPr>
              <w:t>备注</w:t>
            </w:r>
          </w:p>
        </w:tc>
      </w:tr>
      <w:tr>
        <w:tblPrEx>
          <w:tblCellMar>
            <w:top w:w="0" w:type="dxa"/>
            <w:left w:w="0" w:type="dxa"/>
            <w:bottom w:w="0" w:type="dxa"/>
            <w:right w:w="0" w:type="dxa"/>
          </w:tblCellMar>
        </w:tblPrEx>
        <w:trPr>
          <w:trHeight w:val="340" w:hRule="exact"/>
          <w:jc w:val="center"/>
        </w:trPr>
        <w:tc>
          <w:tcPr>
            <w:tcW w:w="6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239</w:t>
            </w:r>
          </w:p>
        </w:tc>
        <w:tc>
          <w:tcPr>
            <w:tcW w:w="1187"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rPr>
              <w:t>1类B采购单</w:t>
            </w:r>
            <w:r>
              <w:rPr>
                <w:rFonts w:hint="eastAsia" w:cs="华文中宋" w:asciiTheme="minorEastAsia" w:hAnsiTheme="minorEastAsia" w:eastAsiaTheme="minorEastAsia"/>
                <w:color w:val="000000"/>
                <w:sz w:val="20"/>
                <w:szCs w:val="20"/>
                <w:lang w:val="en-US"/>
              </w:rPr>
              <w:br w:type="textWrapping"/>
            </w:r>
            <w:r>
              <w:rPr>
                <w:rFonts w:hint="eastAsia" w:cs="华文中宋" w:asciiTheme="minorEastAsia" w:hAnsiTheme="minorEastAsia" w:eastAsiaTheme="minorEastAsia"/>
                <w:color w:val="000000"/>
                <w:sz w:val="20"/>
                <w:szCs w:val="20"/>
                <w:lang w:val="en-US"/>
              </w:rPr>
              <w:t>（未过评产品）</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头孢氨苄     泡腾片</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泡腾片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0.125g</w:t>
            </w:r>
          </w:p>
        </w:tc>
        <w:tc>
          <w:tcPr>
            <w:tcW w:w="45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广州白云山光华制药股份有限公司</w:t>
            </w:r>
          </w:p>
        </w:tc>
        <w:tc>
          <w:tcPr>
            <w:tcW w:w="7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cs="华文中宋" w:asciiTheme="minorEastAsia" w:hAnsiTheme="minorEastAsia" w:eastAsiaTheme="minorEastAsia"/>
                <w:color w:val="000000"/>
                <w:lang w:eastAsia="zh-CN"/>
              </w:rPr>
            </w:pPr>
            <w:r>
              <w:rPr>
                <w:rFonts w:hint="eastAsia" w:cs="华文中宋" w:asciiTheme="minorEastAsia" w:hAnsiTheme="minorEastAsia" w:eastAsiaTheme="minorEastAsia"/>
                <w:color w:val="000000"/>
                <w:sz w:val="20"/>
                <w:szCs w:val="20"/>
                <w:lang w:eastAsia="zh-CN"/>
              </w:rPr>
              <w:t>未过评</w:t>
            </w: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240</w:t>
            </w:r>
          </w:p>
        </w:tc>
        <w:tc>
          <w:tcPr>
            <w:tcW w:w="11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0.25g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广州白云山光华制药股份有限公司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241</w:t>
            </w:r>
          </w:p>
        </w:tc>
        <w:tc>
          <w:tcPr>
            <w:tcW w:w="11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头孢氨苄       口服液体剂</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干混悬剂</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0.5g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广州白云山天心制药股份有限公司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242</w:t>
            </w:r>
          </w:p>
        </w:tc>
        <w:tc>
          <w:tcPr>
            <w:tcW w:w="11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广州白云山天心制药股份有限公司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243</w:t>
            </w:r>
          </w:p>
        </w:tc>
        <w:tc>
          <w:tcPr>
            <w:tcW w:w="11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广州南新制药有限公司</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r>
        <w:tblPrEx>
          <w:tblCellMar>
            <w:top w:w="0" w:type="dxa"/>
            <w:left w:w="0" w:type="dxa"/>
            <w:bottom w:w="0" w:type="dxa"/>
            <w:right w:w="0"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244</w:t>
            </w:r>
          </w:p>
        </w:tc>
        <w:tc>
          <w:tcPr>
            <w:tcW w:w="11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华文中宋" w:asciiTheme="minorEastAsia" w:hAnsiTheme="minorEastAsia" w:eastAsiaTheme="minorEastAsia"/>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1.5g</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lang w:val="en-US" w:bidi="ar"/>
              </w:rPr>
              <w:t>浙江海力生制药有限公司</w:t>
            </w:r>
          </w:p>
        </w:tc>
        <w:tc>
          <w:tcPr>
            <w:tcW w:w="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中宋" w:asciiTheme="minorEastAsia" w:hAnsiTheme="minorEastAsia" w:eastAsiaTheme="minorEastAsia"/>
                <w:color w:val="000000"/>
              </w:rPr>
            </w:pPr>
          </w:p>
        </w:tc>
      </w:tr>
    </w:tbl>
    <w:p>
      <w:pPr>
        <w:widowControl/>
        <w:autoSpaceDE/>
        <w:autoSpaceDN/>
        <w:rPr>
          <w:rFonts w:ascii="Times New Roman" w:eastAsiaTheme="minorEastAsia"/>
          <w:sz w:val="30"/>
          <w:szCs w:val="30"/>
          <w:lang w:val="en-US"/>
        </w:rPr>
      </w:pPr>
      <w:r>
        <w:rPr>
          <w:rFonts w:ascii="Times New Roman" w:eastAsiaTheme="minorEastAsia"/>
          <w:lang w:val="en-US"/>
        </w:rPr>
        <w:br w:type="page"/>
      </w:r>
    </w:p>
    <w:p>
      <w:pPr>
        <w:pStyle w:val="4"/>
        <w:rPr>
          <w:lang w:val="en-US"/>
        </w:rPr>
      </w:pPr>
      <w:r>
        <w:rPr>
          <w:rFonts w:hint="eastAsia"/>
          <w:lang w:val="en-US"/>
        </w:rPr>
        <w:t>附表3</w:t>
      </w:r>
    </w:p>
    <w:p>
      <w:pPr>
        <w:pStyle w:val="4"/>
        <w:jc w:val="center"/>
      </w:pPr>
      <w:r>
        <w:rPr>
          <w:rFonts w:hint="eastAsia"/>
          <w:lang w:val="en-US"/>
        </w:rPr>
        <w:t>头孢氨苄2类B</w:t>
      </w:r>
      <w:r>
        <w:rPr>
          <w:lang w:val="en-US"/>
        </w:rPr>
        <w:t>采购单明细表（</w:t>
      </w:r>
      <w:r>
        <w:rPr>
          <w:rFonts w:hint="eastAsia"/>
          <w:lang w:val="en-US"/>
        </w:rPr>
        <w:t>联盟地区</w:t>
      </w:r>
      <w:r>
        <w:rPr>
          <w:lang w:val="en-US"/>
        </w:rPr>
        <w:t>）</w:t>
      </w:r>
    </w:p>
    <w:p>
      <w:pPr>
        <w:pStyle w:val="4"/>
        <w:tabs>
          <w:tab w:val="left" w:pos="3190"/>
        </w:tabs>
        <w:ind w:left="0" w:firstLine="320" w:firstLineChars="100"/>
      </w:pPr>
    </w:p>
    <w:tbl>
      <w:tblPr>
        <w:tblStyle w:val="13"/>
        <w:tblW w:w="9580" w:type="dxa"/>
        <w:tblInd w:w="0" w:type="dxa"/>
        <w:tblLayout w:type="fixed"/>
        <w:tblCellMar>
          <w:top w:w="0" w:type="dxa"/>
          <w:left w:w="0" w:type="dxa"/>
          <w:bottom w:w="0" w:type="dxa"/>
          <w:right w:w="0" w:type="dxa"/>
        </w:tblCellMar>
      </w:tblPr>
      <w:tblGrid>
        <w:gridCol w:w="630"/>
        <w:gridCol w:w="1369"/>
        <w:gridCol w:w="1389"/>
        <w:gridCol w:w="975"/>
        <w:gridCol w:w="1099"/>
        <w:gridCol w:w="3255"/>
        <w:gridCol w:w="863"/>
      </w:tblGrid>
      <w:tr>
        <w:tblPrEx>
          <w:tblCellMar>
            <w:top w:w="0" w:type="dxa"/>
            <w:left w:w="0" w:type="dxa"/>
            <w:bottom w:w="0" w:type="dxa"/>
            <w:right w:w="0" w:type="dxa"/>
          </w:tblCellMar>
        </w:tblPrEx>
        <w:trPr>
          <w:trHeight w:val="5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b/>
                <w:color w:val="000000"/>
                <w:sz w:val="20"/>
                <w:szCs w:val="20"/>
              </w:rPr>
            </w:pPr>
            <w:r>
              <w:rPr>
                <w:rFonts w:hint="eastAsia" w:cs="华文宋体" w:asciiTheme="minorEastAsia" w:hAnsiTheme="minorEastAsia" w:eastAsiaTheme="minorEastAsia"/>
                <w:b/>
                <w:color w:val="000000"/>
                <w:sz w:val="20"/>
                <w:szCs w:val="20"/>
                <w:lang w:val="en-US" w:bidi="ar"/>
              </w:rPr>
              <w:t>序号</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b/>
                <w:color w:val="000000"/>
                <w:sz w:val="20"/>
                <w:szCs w:val="20"/>
              </w:rPr>
            </w:pPr>
            <w:r>
              <w:rPr>
                <w:rFonts w:hint="eastAsia" w:cs="华文宋体" w:asciiTheme="minorEastAsia" w:hAnsiTheme="minorEastAsia" w:eastAsiaTheme="minorEastAsia"/>
                <w:b/>
                <w:color w:val="000000"/>
                <w:sz w:val="20"/>
                <w:szCs w:val="20"/>
                <w:lang w:val="en-US" w:bidi="ar"/>
              </w:rPr>
              <w:t>类别</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b/>
                <w:color w:val="000000"/>
                <w:sz w:val="20"/>
                <w:szCs w:val="20"/>
              </w:rPr>
            </w:pPr>
            <w:r>
              <w:rPr>
                <w:rFonts w:hint="eastAsia" w:cs="华文宋体" w:asciiTheme="minorEastAsia" w:hAnsiTheme="minorEastAsia" w:eastAsiaTheme="minorEastAsia"/>
                <w:b/>
                <w:color w:val="000000"/>
                <w:sz w:val="20"/>
                <w:szCs w:val="20"/>
                <w:lang w:val="en-US" w:bidi="ar"/>
              </w:rPr>
              <w:t>品种名称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b/>
                <w:color w:val="000000"/>
                <w:sz w:val="20"/>
                <w:szCs w:val="20"/>
              </w:rPr>
            </w:pPr>
            <w:r>
              <w:rPr>
                <w:rFonts w:hint="eastAsia" w:cs="华文宋体" w:asciiTheme="minorEastAsia" w:hAnsiTheme="minorEastAsia" w:eastAsiaTheme="minorEastAsia"/>
                <w:b/>
                <w:color w:val="000000"/>
                <w:sz w:val="20"/>
                <w:szCs w:val="20"/>
                <w:lang w:val="en-US" w:bidi="ar"/>
              </w:rPr>
              <w:t>对应       剂型</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b/>
                <w:color w:val="000000"/>
                <w:sz w:val="20"/>
                <w:szCs w:val="20"/>
              </w:rPr>
            </w:pPr>
            <w:r>
              <w:rPr>
                <w:rFonts w:hint="eastAsia" w:cs="华文宋体" w:asciiTheme="minorEastAsia" w:hAnsiTheme="minorEastAsia" w:eastAsiaTheme="minorEastAsia"/>
                <w:b/>
                <w:color w:val="000000"/>
                <w:sz w:val="20"/>
                <w:szCs w:val="20"/>
                <w:lang w:val="en-US" w:bidi="ar"/>
              </w:rPr>
              <w:t>规格</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b/>
                <w:color w:val="000000"/>
                <w:sz w:val="20"/>
                <w:szCs w:val="20"/>
              </w:rPr>
            </w:pPr>
            <w:r>
              <w:rPr>
                <w:rFonts w:hint="eastAsia" w:cs="华文宋体" w:asciiTheme="minorEastAsia" w:hAnsiTheme="minorEastAsia" w:eastAsiaTheme="minorEastAsia"/>
                <w:b/>
                <w:color w:val="000000"/>
                <w:sz w:val="20"/>
                <w:szCs w:val="20"/>
                <w:lang w:val="en-US" w:bidi="ar"/>
              </w:rPr>
              <w:t>生产企业</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b/>
                <w:color w:val="000000"/>
                <w:sz w:val="20"/>
                <w:szCs w:val="20"/>
              </w:rPr>
            </w:pPr>
            <w:r>
              <w:rPr>
                <w:rFonts w:hint="eastAsia" w:cs="华文宋体" w:asciiTheme="minorEastAsia" w:hAnsiTheme="minorEastAsia" w:eastAsiaTheme="minorEastAsia"/>
                <w:b/>
                <w:color w:val="000000"/>
                <w:sz w:val="20"/>
                <w:szCs w:val="20"/>
                <w:lang w:val="en-US" w:bidi="ar"/>
              </w:rPr>
              <w:t>备注</w:t>
            </w:r>
          </w:p>
        </w:tc>
      </w:tr>
      <w:tr>
        <w:tblPrEx>
          <w:tblCellMar>
            <w:top w:w="0" w:type="dxa"/>
            <w:left w:w="0" w:type="dxa"/>
            <w:bottom w:w="0" w:type="dxa"/>
            <w:right w:w="0"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color w:val="000000"/>
                <w:sz w:val="20"/>
                <w:szCs w:val="20"/>
              </w:rPr>
            </w:pPr>
            <w:r>
              <w:rPr>
                <w:rFonts w:hint="eastAsia" w:cs="华文宋体" w:asciiTheme="minorEastAsia" w:hAnsiTheme="minorEastAsia" w:eastAsiaTheme="minorEastAsia"/>
                <w:color w:val="000000"/>
                <w:sz w:val="20"/>
                <w:szCs w:val="20"/>
                <w:lang w:val="en-US" w:bidi="ar"/>
              </w:rPr>
              <w:t>1</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color w:val="000000"/>
                <w:sz w:val="20"/>
                <w:szCs w:val="20"/>
              </w:rPr>
            </w:pPr>
            <w:r>
              <w:rPr>
                <w:rFonts w:hint="eastAsia" w:cs="华文宋体" w:asciiTheme="minorEastAsia" w:hAnsiTheme="minorEastAsia" w:eastAsiaTheme="minorEastAsia"/>
                <w:color w:val="000000"/>
                <w:sz w:val="20"/>
                <w:szCs w:val="20"/>
                <w:lang w:val="en-US" w:bidi="ar"/>
              </w:rPr>
              <w:t>2类B采购单</w:t>
            </w:r>
            <w:r>
              <w:rPr>
                <w:rFonts w:hint="eastAsia" w:cs="华文宋体" w:asciiTheme="minorEastAsia" w:hAnsiTheme="minorEastAsia" w:eastAsiaTheme="minorEastAsia"/>
                <w:color w:val="000000"/>
                <w:sz w:val="20"/>
                <w:szCs w:val="20"/>
                <w:lang w:val="en-US" w:bidi="ar"/>
              </w:rPr>
              <w:br w:type="textWrapping"/>
            </w:r>
            <w:r>
              <w:rPr>
                <w:rFonts w:hint="eastAsia" w:cs="华文宋体" w:asciiTheme="minorEastAsia" w:hAnsiTheme="minorEastAsia" w:eastAsiaTheme="minorEastAsia"/>
                <w:color w:val="000000"/>
                <w:sz w:val="20"/>
                <w:szCs w:val="20"/>
                <w:lang w:val="en-US" w:bidi="ar"/>
              </w:rPr>
              <w:t>（未过评产品）</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color w:val="000000"/>
                <w:sz w:val="20"/>
                <w:szCs w:val="20"/>
              </w:rPr>
            </w:pPr>
            <w:r>
              <w:rPr>
                <w:rFonts w:hint="eastAsia" w:cs="华文宋体" w:asciiTheme="minorEastAsia" w:hAnsiTheme="minorEastAsia" w:eastAsiaTheme="minorEastAsia"/>
                <w:color w:val="000000"/>
                <w:sz w:val="20"/>
                <w:szCs w:val="20"/>
                <w:lang w:val="en-US" w:bidi="ar"/>
              </w:rPr>
              <w:t>头孢氨苄                          缓释控释剂型</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color w:val="000000"/>
                <w:sz w:val="20"/>
                <w:szCs w:val="20"/>
              </w:rPr>
            </w:pPr>
            <w:r>
              <w:rPr>
                <w:rFonts w:hint="eastAsia" w:cs="华文宋体" w:asciiTheme="minorEastAsia" w:hAnsiTheme="minorEastAsia" w:eastAsiaTheme="minorEastAsia"/>
                <w:color w:val="000000"/>
                <w:sz w:val="20"/>
                <w:szCs w:val="20"/>
                <w:lang w:val="en-US" w:bidi="ar"/>
              </w:rPr>
              <w:t>缓释胶囊</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color w:val="000000"/>
                <w:sz w:val="20"/>
                <w:szCs w:val="20"/>
              </w:rPr>
            </w:pPr>
            <w:r>
              <w:rPr>
                <w:rFonts w:hint="eastAsia" w:cs="华文宋体" w:asciiTheme="minorEastAsia" w:hAnsiTheme="minorEastAsia" w:eastAsiaTheme="minorEastAsia"/>
                <w:color w:val="000000"/>
                <w:sz w:val="20"/>
                <w:szCs w:val="20"/>
                <w:lang w:val="en-US" w:bidi="ar"/>
              </w:rPr>
              <w:t>0.25g</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color w:val="000000"/>
                <w:sz w:val="20"/>
                <w:szCs w:val="20"/>
              </w:rPr>
            </w:pPr>
            <w:r>
              <w:rPr>
                <w:rFonts w:hint="eastAsia" w:cs="华文宋体" w:asciiTheme="minorEastAsia" w:hAnsiTheme="minorEastAsia" w:eastAsiaTheme="minorEastAsia"/>
                <w:color w:val="000000"/>
                <w:sz w:val="20"/>
                <w:szCs w:val="20"/>
                <w:lang w:val="en-US" w:bidi="ar"/>
              </w:rPr>
              <w:t>上海现代制药股份有限公司</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color w:val="000000"/>
                <w:sz w:val="20"/>
                <w:szCs w:val="20"/>
              </w:rPr>
            </w:pPr>
            <w:r>
              <w:rPr>
                <w:rFonts w:hint="eastAsia" w:cs="华文宋体" w:asciiTheme="minorEastAsia" w:hAnsiTheme="minorEastAsia" w:eastAsiaTheme="minorEastAsia"/>
                <w:color w:val="000000"/>
                <w:sz w:val="20"/>
                <w:szCs w:val="20"/>
                <w:lang w:val="en-US" w:bidi="ar"/>
              </w:rPr>
              <w:t>未过评</w:t>
            </w:r>
          </w:p>
        </w:tc>
      </w:tr>
      <w:tr>
        <w:tblPrEx>
          <w:tblCellMar>
            <w:top w:w="0" w:type="dxa"/>
            <w:left w:w="0" w:type="dxa"/>
            <w:bottom w:w="0" w:type="dxa"/>
            <w:right w:w="0" w:type="dxa"/>
          </w:tblCellMar>
        </w:tblPrEx>
        <w:trPr>
          <w:trHeight w:val="5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color w:val="000000"/>
                <w:sz w:val="20"/>
                <w:szCs w:val="20"/>
              </w:rPr>
            </w:pPr>
            <w:r>
              <w:rPr>
                <w:rFonts w:hint="eastAsia" w:cs="华文宋体" w:asciiTheme="minorEastAsia" w:hAnsiTheme="minorEastAsia" w:eastAsiaTheme="minorEastAsia"/>
                <w:color w:val="000000"/>
                <w:sz w:val="20"/>
                <w:szCs w:val="20"/>
                <w:lang w:val="en-US" w:bidi="ar"/>
              </w:rPr>
              <w:t>2</w:t>
            </w: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宋体" w:asciiTheme="minorEastAsia" w:hAnsiTheme="minorEastAsia" w:eastAsiaTheme="minorEastAsia"/>
                <w:color w:val="000000"/>
                <w:sz w:val="20"/>
                <w:szCs w:val="20"/>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宋体" w:asciiTheme="minorEastAsia" w:hAnsiTheme="minorEastAsia" w:eastAsiaTheme="minorEastAsia"/>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color w:val="000000"/>
                <w:sz w:val="20"/>
                <w:szCs w:val="20"/>
              </w:rPr>
            </w:pPr>
            <w:r>
              <w:rPr>
                <w:rFonts w:hint="eastAsia" w:cs="华文宋体" w:asciiTheme="minorEastAsia" w:hAnsiTheme="minorEastAsia" w:eastAsiaTheme="minorEastAsia"/>
                <w:color w:val="000000"/>
                <w:sz w:val="20"/>
                <w:szCs w:val="20"/>
                <w:lang w:val="en-US" w:bidi="ar"/>
              </w:rPr>
              <w:t>缓释片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color w:val="000000"/>
                <w:sz w:val="20"/>
                <w:szCs w:val="20"/>
              </w:rPr>
            </w:pPr>
            <w:r>
              <w:rPr>
                <w:rFonts w:hint="eastAsia" w:cs="华文宋体" w:asciiTheme="minorEastAsia" w:hAnsiTheme="minorEastAsia" w:eastAsiaTheme="minorEastAsia"/>
                <w:color w:val="000000"/>
                <w:sz w:val="20"/>
                <w:szCs w:val="20"/>
                <w:lang w:val="en-US" w:bidi="ar"/>
              </w:rPr>
              <w:t>0.25g</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华文宋体" w:asciiTheme="minorEastAsia" w:hAnsiTheme="minorEastAsia" w:eastAsiaTheme="minorEastAsia"/>
                <w:color w:val="000000"/>
                <w:sz w:val="20"/>
                <w:szCs w:val="20"/>
              </w:rPr>
            </w:pPr>
            <w:r>
              <w:rPr>
                <w:rFonts w:hint="eastAsia" w:cs="华文宋体" w:asciiTheme="minorEastAsia" w:hAnsiTheme="minorEastAsia" w:eastAsiaTheme="minorEastAsia"/>
                <w:color w:val="000000"/>
                <w:sz w:val="20"/>
                <w:szCs w:val="20"/>
                <w:lang w:val="en-US" w:bidi="ar"/>
              </w:rPr>
              <w:t>江苏豪森药业集团有限公司</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华文宋体" w:asciiTheme="minorEastAsia" w:hAnsiTheme="minorEastAsia" w:eastAsiaTheme="minorEastAsia"/>
                <w:color w:val="000000"/>
                <w:sz w:val="20"/>
                <w:szCs w:val="20"/>
              </w:rPr>
            </w:pPr>
          </w:p>
        </w:tc>
      </w:tr>
    </w:tbl>
    <w:p>
      <w:pPr>
        <w:pStyle w:val="7"/>
        <w:tabs>
          <w:tab w:val="left" w:pos="6151"/>
        </w:tabs>
        <w:rPr>
          <w:rFonts w:ascii="Times New Roman" w:eastAsiaTheme="minorEastAsia"/>
          <w:lang w:val="en-US"/>
        </w:rPr>
      </w:pPr>
    </w:p>
    <w:sectPr>
      <w:pgSz w:w="11910" w:h="16840"/>
      <w:pgMar w:top="1580" w:right="1040" w:bottom="1220" w:left="1300" w:header="1145" w:footer="1035"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0000000000000000000"/>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lgerian">
    <w:panose1 w:val="04020705040A02060702"/>
    <w:charset w:val="00"/>
    <w:family w:val="auto"/>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lang w:val="en-US" w:bidi="ar-SA"/>
      </w:rPr>
      <mc:AlternateContent>
        <mc:Choice Requires="wps">
          <w:drawing>
            <wp:anchor distT="0" distB="0" distL="114300" distR="114300" simplePos="0" relativeHeight="250804224" behindDoc="0" locked="0" layoutInCell="1" allowOverlap="1">
              <wp:simplePos x="0" y="0"/>
              <wp:positionH relativeFrom="margin">
                <wp:align>center</wp:align>
              </wp:positionH>
              <wp:positionV relativeFrom="page">
                <wp:posOffset>9895205</wp:posOffset>
              </wp:positionV>
              <wp:extent cx="40195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40195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9</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779.15pt;height:11pt;width:31.65pt;mso-position-horizontal:center;mso-position-horizontal-relative:margin;mso-position-vertical-relative:page;z-index:250804224;mso-width-relative:page;mso-height-relative:page;" filled="f" stroked="f" coordsize="21600,21600" o:gfxdata="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0TfB1QAAAAkBAAAPAAAAAAAAAAEAIAAAACIAAABkcnMvZG93bnJldi54bWxQ&#10;SwECFAAUAAAACACHTuJAD/yo2/oBAAADBAAADgAAAAAAAAABACAAAAAkAQAAZHJzL2Uyb0RvYy54&#10;bWxQSwUGAAAAAAYABgBZAQAAkA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lang w:val="en-US" w:bidi="ar-SA"/>
      </w:rPr>
      <mc:AlternateContent>
        <mc:Choice Requires="wps">
          <w:drawing>
            <wp:anchor distT="0" distB="0" distL="114300" distR="114300" simplePos="0" relativeHeight="250803200" behindDoc="1" locked="0" layoutInCell="1" allowOverlap="1">
              <wp:simplePos x="0" y="0"/>
              <wp:positionH relativeFrom="page">
                <wp:posOffset>959485</wp:posOffset>
              </wp:positionH>
              <wp:positionV relativeFrom="page">
                <wp:posOffset>714375</wp:posOffset>
              </wp:positionV>
              <wp:extent cx="2536190" cy="139700"/>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36190" cy="139700"/>
                      </a:xfrm>
                      <a:prstGeom prst="rect">
                        <a:avLst/>
                      </a:prstGeom>
                      <a:noFill/>
                      <a:ln>
                        <a:noFill/>
                      </a:ln>
                    </wps:spPr>
                    <wps:txbx>
                      <w:txbxContent>
                        <w:p>
                          <w:pPr>
                            <w:spacing w:line="220" w:lineRule="exact"/>
                            <w:ind w:left="20"/>
                            <w:rPr>
                              <w:sz w:val="18"/>
                            </w:rPr>
                          </w:pPr>
                          <w:r>
                            <w:rPr>
                              <w:rFonts w:hint="eastAsia"/>
                              <w:sz w:val="18"/>
                              <w:lang w:val="en-US"/>
                            </w:rPr>
                            <w:t>头孢氨苄药品联盟地区集团带量采购文件</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75.55pt;margin-top:56.25pt;height:11pt;width:199.7pt;mso-position-horizontal-relative:page;mso-position-vertical-relative:page;z-index:-252513280;mso-width-relative:page;mso-height-relative:page;" filled="f" stroked="f" coordsize="21600,21600" o:gfxdata="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sOa9gAAAALAQAADwAAAAAAAAABACAAAAAiAAAAZHJzL2Rvd25y&#10;ZXYueG1sUEsBAhQAFAAAAAgAh07iQEBbPPv+AQAABAQAAA4AAAAAAAAAAQAgAAAAJwEAAGRycy9l&#10;Mm9Eb2MueG1sUEsFBgAAAAAGAAYAWQEAAJcFAAAAAA==&#10;">
              <v:fill on="f" focussize="0,0"/>
              <v:stroke on="f"/>
              <v:imagedata o:title=""/>
              <o:lock v:ext="edit" aspectratio="f"/>
              <v:textbox inset="0mm,0mm,0mm,0mm">
                <w:txbxContent>
                  <w:p>
                    <w:pPr>
                      <w:spacing w:line="220" w:lineRule="exact"/>
                      <w:ind w:left="20"/>
                      <w:rPr>
                        <w:sz w:val="18"/>
                      </w:rPr>
                    </w:pPr>
                    <w:r>
                      <w:rPr>
                        <w:rFonts w:hint="eastAsia"/>
                        <w:sz w:val="18"/>
                        <w:lang w:val="en-US"/>
                      </w:rPr>
                      <w:t>头孢氨苄药品联盟地区集团带量采购文件</w:t>
                    </w:r>
                  </w:p>
                </w:txbxContent>
              </v:textbox>
            </v:shape>
          </w:pict>
        </mc:Fallback>
      </mc:AlternateContent>
    </w:r>
    <w:r>
      <w:rPr>
        <w:lang w:val="en-US" w:bidi="ar-SA"/>
      </w:rPr>
      <mc:AlternateContent>
        <mc:Choice Requires="wps">
          <w:drawing>
            <wp:anchor distT="0" distB="0" distL="114300" distR="114300" simplePos="0" relativeHeight="250802176" behindDoc="1" locked="0" layoutInCell="1" allowOverlap="1">
              <wp:simplePos x="0" y="0"/>
              <wp:positionH relativeFrom="page">
                <wp:posOffset>972185</wp:posOffset>
              </wp:positionH>
              <wp:positionV relativeFrom="page">
                <wp:posOffset>912495</wp:posOffset>
              </wp:positionV>
              <wp:extent cx="5615940" cy="0"/>
              <wp:effectExtent l="0" t="0" r="0" b="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144">
                        <a:solidFill>
                          <a:srgbClr val="000000"/>
                        </a:solidFill>
                        <a:prstDash val="solid"/>
                        <a:round/>
                      </a:ln>
                    </wps:spPr>
                    <wps:bodyPr/>
                  </wps:wsp>
                </a:graphicData>
              </a:graphic>
            </wp:anchor>
          </w:drawing>
        </mc:Choice>
        <mc:Fallback>
          <w:pict>
            <v:line id="Line 3" o:spid="_x0000_s1026" o:spt="20" style="position:absolute;left:0pt;margin-left:76.55pt;margin-top:71.85pt;height:0pt;width:442.2pt;mso-position-horizontal-relative:page;mso-position-vertical-relative:page;z-index:-252514304;mso-width-relative:page;mso-height-relative:page;" filled="f" stroked="t" coordsize="21600,21600" o:gfxdata="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gHpr1wAAAAwBAAAPAAAAAAAAAAEAIAAA&#10;ACIAAABkcnMvZG93bnJldi54bWxQSwECFAAUAAAACACHTuJAkFiqMNQBAAC4AwAADgAAAAAAAAAB&#10;ACAAAAAmAQAAZHJzL2Uyb0RvYy54bWxQSwUGAAAAAAYABgBZAQAAbAUAAAAA&#10;">
              <v:fill on="f" focussize="0,0"/>
              <v:stroke weight="0.72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4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BF"/>
    <w:rsid w:val="00007569"/>
    <w:rsid w:val="0002469B"/>
    <w:rsid w:val="0005057F"/>
    <w:rsid w:val="00090772"/>
    <w:rsid w:val="000C1143"/>
    <w:rsid w:val="000C2772"/>
    <w:rsid w:val="000D4E07"/>
    <w:rsid w:val="000D65B6"/>
    <w:rsid w:val="001166F0"/>
    <w:rsid w:val="00141631"/>
    <w:rsid w:val="001446F0"/>
    <w:rsid w:val="00186B30"/>
    <w:rsid w:val="001A2C93"/>
    <w:rsid w:val="001B56FA"/>
    <w:rsid w:val="001E5E12"/>
    <w:rsid w:val="0020199A"/>
    <w:rsid w:val="002647B7"/>
    <w:rsid w:val="002861C3"/>
    <w:rsid w:val="002B2F82"/>
    <w:rsid w:val="002D03F5"/>
    <w:rsid w:val="002D16F4"/>
    <w:rsid w:val="00324340"/>
    <w:rsid w:val="00341E6B"/>
    <w:rsid w:val="003478E7"/>
    <w:rsid w:val="0036774E"/>
    <w:rsid w:val="00370492"/>
    <w:rsid w:val="0038498A"/>
    <w:rsid w:val="00385639"/>
    <w:rsid w:val="003B3C9E"/>
    <w:rsid w:val="003C306B"/>
    <w:rsid w:val="003C5653"/>
    <w:rsid w:val="003E40F9"/>
    <w:rsid w:val="003F7A0E"/>
    <w:rsid w:val="00440FF0"/>
    <w:rsid w:val="004422E9"/>
    <w:rsid w:val="00470A03"/>
    <w:rsid w:val="004807E5"/>
    <w:rsid w:val="004C0E02"/>
    <w:rsid w:val="004C7D15"/>
    <w:rsid w:val="004D42D0"/>
    <w:rsid w:val="004D5AB3"/>
    <w:rsid w:val="0053715B"/>
    <w:rsid w:val="005A0C50"/>
    <w:rsid w:val="005A4CA7"/>
    <w:rsid w:val="005C7E80"/>
    <w:rsid w:val="005D1921"/>
    <w:rsid w:val="005D4FBE"/>
    <w:rsid w:val="005E74FA"/>
    <w:rsid w:val="0062185A"/>
    <w:rsid w:val="00625231"/>
    <w:rsid w:val="00635843"/>
    <w:rsid w:val="00647B1E"/>
    <w:rsid w:val="00675243"/>
    <w:rsid w:val="006765B1"/>
    <w:rsid w:val="006910A6"/>
    <w:rsid w:val="00694B2C"/>
    <w:rsid w:val="00696C8A"/>
    <w:rsid w:val="006B02DB"/>
    <w:rsid w:val="006C22B5"/>
    <w:rsid w:val="006D0CC3"/>
    <w:rsid w:val="007224BD"/>
    <w:rsid w:val="00726641"/>
    <w:rsid w:val="00730316"/>
    <w:rsid w:val="00734DF4"/>
    <w:rsid w:val="00753235"/>
    <w:rsid w:val="00770D0A"/>
    <w:rsid w:val="00775344"/>
    <w:rsid w:val="007A6119"/>
    <w:rsid w:val="007B437D"/>
    <w:rsid w:val="007E3167"/>
    <w:rsid w:val="00815A4F"/>
    <w:rsid w:val="008A73C0"/>
    <w:rsid w:val="008A7F98"/>
    <w:rsid w:val="008C2D0D"/>
    <w:rsid w:val="008C5A10"/>
    <w:rsid w:val="00905BA2"/>
    <w:rsid w:val="00911269"/>
    <w:rsid w:val="00917AAC"/>
    <w:rsid w:val="00940911"/>
    <w:rsid w:val="009C6C27"/>
    <w:rsid w:val="009E3A22"/>
    <w:rsid w:val="00A24F92"/>
    <w:rsid w:val="00A674AD"/>
    <w:rsid w:val="00A91829"/>
    <w:rsid w:val="00AB67FE"/>
    <w:rsid w:val="00AE55D4"/>
    <w:rsid w:val="00AF2546"/>
    <w:rsid w:val="00AF7685"/>
    <w:rsid w:val="00B02F33"/>
    <w:rsid w:val="00B4038E"/>
    <w:rsid w:val="00B42444"/>
    <w:rsid w:val="00B55E92"/>
    <w:rsid w:val="00B60138"/>
    <w:rsid w:val="00B81882"/>
    <w:rsid w:val="00B8485F"/>
    <w:rsid w:val="00BF5286"/>
    <w:rsid w:val="00C062A6"/>
    <w:rsid w:val="00C11756"/>
    <w:rsid w:val="00C3230C"/>
    <w:rsid w:val="00C52DDE"/>
    <w:rsid w:val="00C67613"/>
    <w:rsid w:val="00C73F2F"/>
    <w:rsid w:val="00C93C18"/>
    <w:rsid w:val="00C966ED"/>
    <w:rsid w:val="00CA2DDB"/>
    <w:rsid w:val="00CB2AFA"/>
    <w:rsid w:val="00CB37C3"/>
    <w:rsid w:val="00CD5491"/>
    <w:rsid w:val="00D2743E"/>
    <w:rsid w:val="00D739BF"/>
    <w:rsid w:val="00D91A55"/>
    <w:rsid w:val="00D920E2"/>
    <w:rsid w:val="00E21C49"/>
    <w:rsid w:val="00E22F0B"/>
    <w:rsid w:val="00E3130B"/>
    <w:rsid w:val="00E401E3"/>
    <w:rsid w:val="00E52743"/>
    <w:rsid w:val="00EB2D86"/>
    <w:rsid w:val="00EC7089"/>
    <w:rsid w:val="00ED5788"/>
    <w:rsid w:val="00EF01DF"/>
    <w:rsid w:val="00F424E7"/>
    <w:rsid w:val="00F52C26"/>
    <w:rsid w:val="00F923A0"/>
    <w:rsid w:val="00FB157E"/>
    <w:rsid w:val="01081613"/>
    <w:rsid w:val="010C3D42"/>
    <w:rsid w:val="011548F2"/>
    <w:rsid w:val="01165357"/>
    <w:rsid w:val="011F1FCE"/>
    <w:rsid w:val="01224330"/>
    <w:rsid w:val="012B0AB7"/>
    <w:rsid w:val="01401000"/>
    <w:rsid w:val="014249BD"/>
    <w:rsid w:val="014F3651"/>
    <w:rsid w:val="01534424"/>
    <w:rsid w:val="015376C1"/>
    <w:rsid w:val="0156069C"/>
    <w:rsid w:val="015B4661"/>
    <w:rsid w:val="016E343C"/>
    <w:rsid w:val="017B0F74"/>
    <w:rsid w:val="017C66EA"/>
    <w:rsid w:val="018C1B22"/>
    <w:rsid w:val="01905528"/>
    <w:rsid w:val="02057043"/>
    <w:rsid w:val="02095182"/>
    <w:rsid w:val="02125B5D"/>
    <w:rsid w:val="022A0485"/>
    <w:rsid w:val="02317500"/>
    <w:rsid w:val="02374195"/>
    <w:rsid w:val="023B0006"/>
    <w:rsid w:val="02456683"/>
    <w:rsid w:val="024D46F7"/>
    <w:rsid w:val="0258138A"/>
    <w:rsid w:val="025D6C81"/>
    <w:rsid w:val="02673D36"/>
    <w:rsid w:val="02695FCF"/>
    <w:rsid w:val="026D2F48"/>
    <w:rsid w:val="029F5CF5"/>
    <w:rsid w:val="02B62BE8"/>
    <w:rsid w:val="02BF40C1"/>
    <w:rsid w:val="02CB36FD"/>
    <w:rsid w:val="02CE7817"/>
    <w:rsid w:val="02CF30A0"/>
    <w:rsid w:val="02D062FA"/>
    <w:rsid w:val="02EC30A8"/>
    <w:rsid w:val="02EC314B"/>
    <w:rsid w:val="02F45956"/>
    <w:rsid w:val="02FC4DEE"/>
    <w:rsid w:val="0300736C"/>
    <w:rsid w:val="03016D78"/>
    <w:rsid w:val="031817E1"/>
    <w:rsid w:val="031D1BBB"/>
    <w:rsid w:val="03212608"/>
    <w:rsid w:val="03326DB4"/>
    <w:rsid w:val="03355938"/>
    <w:rsid w:val="03454F56"/>
    <w:rsid w:val="034828FE"/>
    <w:rsid w:val="0356212F"/>
    <w:rsid w:val="03622F74"/>
    <w:rsid w:val="03644081"/>
    <w:rsid w:val="037047CF"/>
    <w:rsid w:val="03710D2E"/>
    <w:rsid w:val="037C2F0E"/>
    <w:rsid w:val="038379E5"/>
    <w:rsid w:val="03874634"/>
    <w:rsid w:val="039549BA"/>
    <w:rsid w:val="03A65C07"/>
    <w:rsid w:val="03A7617A"/>
    <w:rsid w:val="03B2354C"/>
    <w:rsid w:val="03B535A5"/>
    <w:rsid w:val="03DE46B1"/>
    <w:rsid w:val="03DE6927"/>
    <w:rsid w:val="03F03CF3"/>
    <w:rsid w:val="03FE7CDF"/>
    <w:rsid w:val="04034CDC"/>
    <w:rsid w:val="041618F2"/>
    <w:rsid w:val="041E14D3"/>
    <w:rsid w:val="042D011C"/>
    <w:rsid w:val="043B2989"/>
    <w:rsid w:val="043B62EB"/>
    <w:rsid w:val="043C7A0A"/>
    <w:rsid w:val="044F57F6"/>
    <w:rsid w:val="04584541"/>
    <w:rsid w:val="045F35B7"/>
    <w:rsid w:val="046A5A1B"/>
    <w:rsid w:val="047C00D1"/>
    <w:rsid w:val="04954DF8"/>
    <w:rsid w:val="049D2BA8"/>
    <w:rsid w:val="04BC5C1D"/>
    <w:rsid w:val="04D52FD2"/>
    <w:rsid w:val="05017B2A"/>
    <w:rsid w:val="0502191D"/>
    <w:rsid w:val="05047CC1"/>
    <w:rsid w:val="05063106"/>
    <w:rsid w:val="05064B86"/>
    <w:rsid w:val="050C0EAD"/>
    <w:rsid w:val="0519047A"/>
    <w:rsid w:val="05265751"/>
    <w:rsid w:val="05473F88"/>
    <w:rsid w:val="054D6B83"/>
    <w:rsid w:val="05525A5A"/>
    <w:rsid w:val="05547B01"/>
    <w:rsid w:val="05580B2B"/>
    <w:rsid w:val="055B2329"/>
    <w:rsid w:val="055B5EF9"/>
    <w:rsid w:val="056424B7"/>
    <w:rsid w:val="05667649"/>
    <w:rsid w:val="056A52DE"/>
    <w:rsid w:val="056C152C"/>
    <w:rsid w:val="05787248"/>
    <w:rsid w:val="05830966"/>
    <w:rsid w:val="05915CB5"/>
    <w:rsid w:val="059653DA"/>
    <w:rsid w:val="05A11627"/>
    <w:rsid w:val="05A74730"/>
    <w:rsid w:val="05AD759A"/>
    <w:rsid w:val="05B84726"/>
    <w:rsid w:val="05BC0842"/>
    <w:rsid w:val="05C5177D"/>
    <w:rsid w:val="05C60181"/>
    <w:rsid w:val="05D842C7"/>
    <w:rsid w:val="05DE5C5E"/>
    <w:rsid w:val="05E03D42"/>
    <w:rsid w:val="06061916"/>
    <w:rsid w:val="060D13D5"/>
    <w:rsid w:val="060F5093"/>
    <w:rsid w:val="064B3CEB"/>
    <w:rsid w:val="064B563B"/>
    <w:rsid w:val="06543C58"/>
    <w:rsid w:val="065F4307"/>
    <w:rsid w:val="06657985"/>
    <w:rsid w:val="06796039"/>
    <w:rsid w:val="068E0EDC"/>
    <w:rsid w:val="06923230"/>
    <w:rsid w:val="06975A80"/>
    <w:rsid w:val="069854B1"/>
    <w:rsid w:val="069F77B5"/>
    <w:rsid w:val="06BB0778"/>
    <w:rsid w:val="06D91E5F"/>
    <w:rsid w:val="06DA48A4"/>
    <w:rsid w:val="06DB6900"/>
    <w:rsid w:val="06EB5BEC"/>
    <w:rsid w:val="06EC2933"/>
    <w:rsid w:val="06F236DC"/>
    <w:rsid w:val="06F60C36"/>
    <w:rsid w:val="070107C0"/>
    <w:rsid w:val="07037004"/>
    <w:rsid w:val="071F6F39"/>
    <w:rsid w:val="0721291F"/>
    <w:rsid w:val="073339F0"/>
    <w:rsid w:val="07346A7B"/>
    <w:rsid w:val="07473F05"/>
    <w:rsid w:val="074E7C06"/>
    <w:rsid w:val="07525948"/>
    <w:rsid w:val="075C5BF9"/>
    <w:rsid w:val="0789683D"/>
    <w:rsid w:val="079D000E"/>
    <w:rsid w:val="07A840E8"/>
    <w:rsid w:val="07B0086A"/>
    <w:rsid w:val="07B53883"/>
    <w:rsid w:val="07BE50A2"/>
    <w:rsid w:val="07BF0316"/>
    <w:rsid w:val="07D000F4"/>
    <w:rsid w:val="07D861B7"/>
    <w:rsid w:val="07E722CB"/>
    <w:rsid w:val="07F1379F"/>
    <w:rsid w:val="07F61D03"/>
    <w:rsid w:val="07F805BB"/>
    <w:rsid w:val="08227BEC"/>
    <w:rsid w:val="08305F93"/>
    <w:rsid w:val="084D4C5F"/>
    <w:rsid w:val="08573555"/>
    <w:rsid w:val="085A6403"/>
    <w:rsid w:val="085F52A6"/>
    <w:rsid w:val="087912F3"/>
    <w:rsid w:val="0882386D"/>
    <w:rsid w:val="08A357A5"/>
    <w:rsid w:val="08A73F82"/>
    <w:rsid w:val="08B04F3F"/>
    <w:rsid w:val="08B251BE"/>
    <w:rsid w:val="08B342CA"/>
    <w:rsid w:val="08BE210F"/>
    <w:rsid w:val="08C54A50"/>
    <w:rsid w:val="08C86AF8"/>
    <w:rsid w:val="08CA5DE9"/>
    <w:rsid w:val="08D0145C"/>
    <w:rsid w:val="08D2412C"/>
    <w:rsid w:val="08D86911"/>
    <w:rsid w:val="08DA7788"/>
    <w:rsid w:val="08E02DD3"/>
    <w:rsid w:val="08E44803"/>
    <w:rsid w:val="08FD5A9C"/>
    <w:rsid w:val="09266BCD"/>
    <w:rsid w:val="093926D6"/>
    <w:rsid w:val="094950B4"/>
    <w:rsid w:val="095F0810"/>
    <w:rsid w:val="09712AF8"/>
    <w:rsid w:val="09747530"/>
    <w:rsid w:val="09786EFC"/>
    <w:rsid w:val="097A555E"/>
    <w:rsid w:val="098D645E"/>
    <w:rsid w:val="099566E0"/>
    <w:rsid w:val="09AD6B6E"/>
    <w:rsid w:val="09BF3703"/>
    <w:rsid w:val="09C80D07"/>
    <w:rsid w:val="09D16595"/>
    <w:rsid w:val="09D1762E"/>
    <w:rsid w:val="09E545BF"/>
    <w:rsid w:val="09E77A96"/>
    <w:rsid w:val="09F17ADA"/>
    <w:rsid w:val="0A0866E2"/>
    <w:rsid w:val="0A1B44A0"/>
    <w:rsid w:val="0A2A5939"/>
    <w:rsid w:val="0A305E6F"/>
    <w:rsid w:val="0A363F6D"/>
    <w:rsid w:val="0A5067AE"/>
    <w:rsid w:val="0A532210"/>
    <w:rsid w:val="0A532992"/>
    <w:rsid w:val="0A57140D"/>
    <w:rsid w:val="0A5C786E"/>
    <w:rsid w:val="0A5E40CF"/>
    <w:rsid w:val="0A652FBB"/>
    <w:rsid w:val="0A783AC7"/>
    <w:rsid w:val="0A7D0F2B"/>
    <w:rsid w:val="0A854BC8"/>
    <w:rsid w:val="0A8D6C26"/>
    <w:rsid w:val="0A8E1519"/>
    <w:rsid w:val="0AB0494C"/>
    <w:rsid w:val="0ABC328E"/>
    <w:rsid w:val="0ABC75EF"/>
    <w:rsid w:val="0AC641BF"/>
    <w:rsid w:val="0ADD7267"/>
    <w:rsid w:val="0ADF145F"/>
    <w:rsid w:val="0AF04732"/>
    <w:rsid w:val="0B0537D8"/>
    <w:rsid w:val="0B056BED"/>
    <w:rsid w:val="0B133CAF"/>
    <w:rsid w:val="0B192C78"/>
    <w:rsid w:val="0B1E078F"/>
    <w:rsid w:val="0B2B1B21"/>
    <w:rsid w:val="0B363F51"/>
    <w:rsid w:val="0B392B60"/>
    <w:rsid w:val="0B4B0D13"/>
    <w:rsid w:val="0B520F90"/>
    <w:rsid w:val="0B592AFE"/>
    <w:rsid w:val="0B5D0B3A"/>
    <w:rsid w:val="0B645C40"/>
    <w:rsid w:val="0B6B3C05"/>
    <w:rsid w:val="0B7814F3"/>
    <w:rsid w:val="0B91121B"/>
    <w:rsid w:val="0BAA2BDA"/>
    <w:rsid w:val="0BB51830"/>
    <w:rsid w:val="0BC12AC7"/>
    <w:rsid w:val="0BCF515A"/>
    <w:rsid w:val="0BDF701F"/>
    <w:rsid w:val="0BEB7BAA"/>
    <w:rsid w:val="0BED1652"/>
    <w:rsid w:val="0BFE626E"/>
    <w:rsid w:val="0BFF0C24"/>
    <w:rsid w:val="0C0A439B"/>
    <w:rsid w:val="0C19185F"/>
    <w:rsid w:val="0C1F0AF3"/>
    <w:rsid w:val="0C202DD2"/>
    <w:rsid w:val="0C213401"/>
    <w:rsid w:val="0C2472D4"/>
    <w:rsid w:val="0C2668F1"/>
    <w:rsid w:val="0C2F5483"/>
    <w:rsid w:val="0C401A18"/>
    <w:rsid w:val="0C465B6D"/>
    <w:rsid w:val="0C49205B"/>
    <w:rsid w:val="0C5C7D2B"/>
    <w:rsid w:val="0C76141F"/>
    <w:rsid w:val="0C8832FE"/>
    <w:rsid w:val="0C91669E"/>
    <w:rsid w:val="0C9904F5"/>
    <w:rsid w:val="0CA04332"/>
    <w:rsid w:val="0CAF510F"/>
    <w:rsid w:val="0CB042E5"/>
    <w:rsid w:val="0CB30036"/>
    <w:rsid w:val="0CB30E53"/>
    <w:rsid w:val="0CB40E5B"/>
    <w:rsid w:val="0CB4415B"/>
    <w:rsid w:val="0CBC0E72"/>
    <w:rsid w:val="0CC42B94"/>
    <w:rsid w:val="0CC4364F"/>
    <w:rsid w:val="0CC54028"/>
    <w:rsid w:val="0CC66938"/>
    <w:rsid w:val="0CC855EA"/>
    <w:rsid w:val="0CCE285E"/>
    <w:rsid w:val="0CD24CD8"/>
    <w:rsid w:val="0CDB7F97"/>
    <w:rsid w:val="0CE7460B"/>
    <w:rsid w:val="0CF562EB"/>
    <w:rsid w:val="0CF91B50"/>
    <w:rsid w:val="0D060062"/>
    <w:rsid w:val="0D233EB3"/>
    <w:rsid w:val="0D2939CA"/>
    <w:rsid w:val="0D303436"/>
    <w:rsid w:val="0D337704"/>
    <w:rsid w:val="0D3C1D61"/>
    <w:rsid w:val="0D47339A"/>
    <w:rsid w:val="0D553203"/>
    <w:rsid w:val="0D5A4D1E"/>
    <w:rsid w:val="0D640E79"/>
    <w:rsid w:val="0D6B2111"/>
    <w:rsid w:val="0D7B6B9F"/>
    <w:rsid w:val="0D813543"/>
    <w:rsid w:val="0DB81682"/>
    <w:rsid w:val="0DBC2BE1"/>
    <w:rsid w:val="0DDF6F08"/>
    <w:rsid w:val="0DF0263A"/>
    <w:rsid w:val="0DF413BD"/>
    <w:rsid w:val="0E050474"/>
    <w:rsid w:val="0E174CA0"/>
    <w:rsid w:val="0E1C3338"/>
    <w:rsid w:val="0E2A2381"/>
    <w:rsid w:val="0E344C94"/>
    <w:rsid w:val="0E4D51FD"/>
    <w:rsid w:val="0E4E28FA"/>
    <w:rsid w:val="0E5729B2"/>
    <w:rsid w:val="0E6416D7"/>
    <w:rsid w:val="0E7C6A08"/>
    <w:rsid w:val="0E835CCD"/>
    <w:rsid w:val="0E86141F"/>
    <w:rsid w:val="0E8646FF"/>
    <w:rsid w:val="0EA42398"/>
    <w:rsid w:val="0EB97BAE"/>
    <w:rsid w:val="0EBD7E7E"/>
    <w:rsid w:val="0ECE3EF4"/>
    <w:rsid w:val="0EE03D8C"/>
    <w:rsid w:val="0EE37B2A"/>
    <w:rsid w:val="0EF442A8"/>
    <w:rsid w:val="0EF64F3A"/>
    <w:rsid w:val="0F163A64"/>
    <w:rsid w:val="0F26074B"/>
    <w:rsid w:val="0F2C77B2"/>
    <w:rsid w:val="0F390CF3"/>
    <w:rsid w:val="0F5A7282"/>
    <w:rsid w:val="0F5B0265"/>
    <w:rsid w:val="0F731BFB"/>
    <w:rsid w:val="0F7B1A17"/>
    <w:rsid w:val="0F807ECD"/>
    <w:rsid w:val="0F841107"/>
    <w:rsid w:val="0F875B09"/>
    <w:rsid w:val="0F932E5B"/>
    <w:rsid w:val="0F980097"/>
    <w:rsid w:val="0F9910B9"/>
    <w:rsid w:val="0FB53097"/>
    <w:rsid w:val="0FE136C0"/>
    <w:rsid w:val="0FF15BB4"/>
    <w:rsid w:val="100144B9"/>
    <w:rsid w:val="10016413"/>
    <w:rsid w:val="1003570C"/>
    <w:rsid w:val="10175BCC"/>
    <w:rsid w:val="102248B3"/>
    <w:rsid w:val="103474DC"/>
    <w:rsid w:val="105C44B6"/>
    <w:rsid w:val="105F1622"/>
    <w:rsid w:val="106670EB"/>
    <w:rsid w:val="106A7FFF"/>
    <w:rsid w:val="10784138"/>
    <w:rsid w:val="10796102"/>
    <w:rsid w:val="108109CA"/>
    <w:rsid w:val="10877636"/>
    <w:rsid w:val="10906195"/>
    <w:rsid w:val="10927074"/>
    <w:rsid w:val="10A149C6"/>
    <w:rsid w:val="10A25DC9"/>
    <w:rsid w:val="10AD0A19"/>
    <w:rsid w:val="10B96501"/>
    <w:rsid w:val="10BC3F9F"/>
    <w:rsid w:val="10C57BF4"/>
    <w:rsid w:val="10C74249"/>
    <w:rsid w:val="10DC5D2B"/>
    <w:rsid w:val="10EF1485"/>
    <w:rsid w:val="10F55009"/>
    <w:rsid w:val="10FD020F"/>
    <w:rsid w:val="110354E4"/>
    <w:rsid w:val="11277E42"/>
    <w:rsid w:val="112C0267"/>
    <w:rsid w:val="112D1B27"/>
    <w:rsid w:val="11320455"/>
    <w:rsid w:val="113B1FC7"/>
    <w:rsid w:val="113C56E7"/>
    <w:rsid w:val="115A0C44"/>
    <w:rsid w:val="115C0C26"/>
    <w:rsid w:val="116C44F8"/>
    <w:rsid w:val="1181281A"/>
    <w:rsid w:val="118D0261"/>
    <w:rsid w:val="119978DF"/>
    <w:rsid w:val="11A34471"/>
    <w:rsid w:val="11C36B4A"/>
    <w:rsid w:val="11CB0FB4"/>
    <w:rsid w:val="11DB16B6"/>
    <w:rsid w:val="11E27D2A"/>
    <w:rsid w:val="11E443DF"/>
    <w:rsid w:val="11EF035A"/>
    <w:rsid w:val="11EF57CB"/>
    <w:rsid w:val="120C53CC"/>
    <w:rsid w:val="120D17B7"/>
    <w:rsid w:val="122C0CD2"/>
    <w:rsid w:val="122D21B4"/>
    <w:rsid w:val="123202D5"/>
    <w:rsid w:val="1237401C"/>
    <w:rsid w:val="123E0192"/>
    <w:rsid w:val="125F5DF0"/>
    <w:rsid w:val="126A07CF"/>
    <w:rsid w:val="128C1AC9"/>
    <w:rsid w:val="129404ED"/>
    <w:rsid w:val="12A51E61"/>
    <w:rsid w:val="12A97085"/>
    <w:rsid w:val="12AD1365"/>
    <w:rsid w:val="12B94193"/>
    <w:rsid w:val="12C34482"/>
    <w:rsid w:val="12D27D1A"/>
    <w:rsid w:val="12DC0010"/>
    <w:rsid w:val="12DC49B4"/>
    <w:rsid w:val="1307653B"/>
    <w:rsid w:val="13093A14"/>
    <w:rsid w:val="13115826"/>
    <w:rsid w:val="131B3FB4"/>
    <w:rsid w:val="131E1C42"/>
    <w:rsid w:val="13204DFE"/>
    <w:rsid w:val="13435F06"/>
    <w:rsid w:val="135B1D5A"/>
    <w:rsid w:val="1369779C"/>
    <w:rsid w:val="136F3720"/>
    <w:rsid w:val="13754E15"/>
    <w:rsid w:val="137A6A01"/>
    <w:rsid w:val="137D5DF5"/>
    <w:rsid w:val="13816A50"/>
    <w:rsid w:val="13880764"/>
    <w:rsid w:val="138B792F"/>
    <w:rsid w:val="13910868"/>
    <w:rsid w:val="13913D0C"/>
    <w:rsid w:val="13953028"/>
    <w:rsid w:val="13A16276"/>
    <w:rsid w:val="13A8182F"/>
    <w:rsid w:val="13B745A7"/>
    <w:rsid w:val="13BC561F"/>
    <w:rsid w:val="13C819BD"/>
    <w:rsid w:val="13DB748C"/>
    <w:rsid w:val="13E27A0E"/>
    <w:rsid w:val="13EF32A9"/>
    <w:rsid w:val="140D2FA5"/>
    <w:rsid w:val="141106FD"/>
    <w:rsid w:val="14115973"/>
    <w:rsid w:val="14171CEA"/>
    <w:rsid w:val="14197547"/>
    <w:rsid w:val="1432061C"/>
    <w:rsid w:val="14344C83"/>
    <w:rsid w:val="14387484"/>
    <w:rsid w:val="143A00BF"/>
    <w:rsid w:val="144D505A"/>
    <w:rsid w:val="145213E2"/>
    <w:rsid w:val="145356CF"/>
    <w:rsid w:val="145A670A"/>
    <w:rsid w:val="145E5950"/>
    <w:rsid w:val="146A41FB"/>
    <w:rsid w:val="147C4D44"/>
    <w:rsid w:val="14834A3F"/>
    <w:rsid w:val="148D67A9"/>
    <w:rsid w:val="14942326"/>
    <w:rsid w:val="14954C58"/>
    <w:rsid w:val="14971A05"/>
    <w:rsid w:val="149E3843"/>
    <w:rsid w:val="14A64146"/>
    <w:rsid w:val="14AD04C4"/>
    <w:rsid w:val="14AE65C4"/>
    <w:rsid w:val="14B03A10"/>
    <w:rsid w:val="14B40629"/>
    <w:rsid w:val="14D60FAF"/>
    <w:rsid w:val="14D63F89"/>
    <w:rsid w:val="14E8433B"/>
    <w:rsid w:val="14E91F9B"/>
    <w:rsid w:val="14EE7EE7"/>
    <w:rsid w:val="14F112DE"/>
    <w:rsid w:val="14F9228F"/>
    <w:rsid w:val="14FF29F3"/>
    <w:rsid w:val="150F1D82"/>
    <w:rsid w:val="15133C95"/>
    <w:rsid w:val="15240C90"/>
    <w:rsid w:val="1525244D"/>
    <w:rsid w:val="1527613B"/>
    <w:rsid w:val="152C4917"/>
    <w:rsid w:val="15313204"/>
    <w:rsid w:val="153D38F8"/>
    <w:rsid w:val="154408E3"/>
    <w:rsid w:val="15445008"/>
    <w:rsid w:val="155640AB"/>
    <w:rsid w:val="1562787B"/>
    <w:rsid w:val="15633DF4"/>
    <w:rsid w:val="15680F78"/>
    <w:rsid w:val="157F27DA"/>
    <w:rsid w:val="15876424"/>
    <w:rsid w:val="15925909"/>
    <w:rsid w:val="15A91F3C"/>
    <w:rsid w:val="15B846EE"/>
    <w:rsid w:val="15CB0909"/>
    <w:rsid w:val="15D27E18"/>
    <w:rsid w:val="15D3035E"/>
    <w:rsid w:val="15D44E2F"/>
    <w:rsid w:val="15E728FE"/>
    <w:rsid w:val="15E82626"/>
    <w:rsid w:val="15ED62E6"/>
    <w:rsid w:val="15F977BC"/>
    <w:rsid w:val="15FC4602"/>
    <w:rsid w:val="15FE6BAB"/>
    <w:rsid w:val="16030F5A"/>
    <w:rsid w:val="1605337F"/>
    <w:rsid w:val="16054483"/>
    <w:rsid w:val="1606091A"/>
    <w:rsid w:val="16132722"/>
    <w:rsid w:val="1615164F"/>
    <w:rsid w:val="161D59CC"/>
    <w:rsid w:val="1631196C"/>
    <w:rsid w:val="163D25E2"/>
    <w:rsid w:val="164C6A2E"/>
    <w:rsid w:val="16632E9F"/>
    <w:rsid w:val="166C00C2"/>
    <w:rsid w:val="16710883"/>
    <w:rsid w:val="16735B14"/>
    <w:rsid w:val="16750118"/>
    <w:rsid w:val="16792683"/>
    <w:rsid w:val="168306EC"/>
    <w:rsid w:val="168903CD"/>
    <w:rsid w:val="169927ED"/>
    <w:rsid w:val="169D7848"/>
    <w:rsid w:val="16AA0331"/>
    <w:rsid w:val="16AC14D0"/>
    <w:rsid w:val="16AD3C64"/>
    <w:rsid w:val="16B211CE"/>
    <w:rsid w:val="16B75283"/>
    <w:rsid w:val="16C0582B"/>
    <w:rsid w:val="16C81825"/>
    <w:rsid w:val="16CB6819"/>
    <w:rsid w:val="16CD08A4"/>
    <w:rsid w:val="16E74434"/>
    <w:rsid w:val="16EE40E3"/>
    <w:rsid w:val="16F56A31"/>
    <w:rsid w:val="16FC43F0"/>
    <w:rsid w:val="16FD1BD5"/>
    <w:rsid w:val="17056F1F"/>
    <w:rsid w:val="171E4261"/>
    <w:rsid w:val="172C344C"/>
    <w:rsid w:val="17413A24"/>
    <w:rsid w:val="174177FF"/>
    <w:rsid w:val="1743179F"/>
    <w:rsid w:val="174C4C4E"/>
    <w:rsid w:val="174E2E8C"/>
    <w:rsid w:val="17577717"/>
    <w:rsid w:val="17592F6D"/>
    <w:rsid w:val="175D259E"/>
    <w:rsid w:val="175F4B5F"/>
    <w:rsid w:val="17A70F6E"/>
    <w:rsid w:val="17A84907"/>
    <w:rsid w:val="17B73706"/>
    <w:rsid w:val="17BC188D"/>
    <w:rsid w:val="17C77138"/>
    <w:rsid w:val="17D45383"/>
    <w:rsid w:val="17D720F8"/>
    <w:rsid w:val="17D95235"/>
    <w:rsid w:val="17E80E0C"/>
    <w:rsid w:val="17EA0C06"/>
    <w:rsid w:val="17F32411"/>
    <w:rsid w:val="17FF509C"/>
    <w:rsid w:val="181E5312"/>
    <w:rsid w:val="1820596B"/>
    <w:rsid w:val="18276A44"/>
    <w:rsid w:val="182A285F"/>
    <w:rsid w:val="18300DA6"/>
    <w:rsid w:val="18311BCE"/>
    <w:rsid w:val="183668A0"/>
    <w:rsid w:val="1838431E"/>
    <w:rsid w:val="18403D64"/>
    <w:rsid w:val="1843158B"/>
    <w:rsid w:val="184E0A3C"/>
    <w:rsid w:val="18557303"/>
    <w:rsid w:val="187758B5"/>
    <w:rsid w:val="18783E98"/>
    <w:rsid w:val="18913BE4"/>
    <w:rsid w:val="18946B24"/>
    <w:rsid w:val="189A4E94"/>
    <w:rsid w:val="18A25444"/>
    <w:rsid w:val="18A932C3"/>
    <w:rsid w:val="18AC64B2"/>
    <w:rsid w:val="18AF26DD"/>
    <w:rsid w:val="18BB5AB7"/>
    <w:rsid w:val="18BC2DD0"/>
    <w:rsid w:val="18C018A5"/>
    <w:rsid w:val="18C066FF"/>
    <w:rsid w:val="18CD1900"/>
    <w:rsid w:val="18CD50BA"/>
    <w:rsid w:val="18D24D07"/>
    <w:rsid w:val="18F25B41"/>
    <w:rsid w:val="18FA5A6D"/>
    <w:rsid w:val="18FF3088"/>
    <w:rsid w:val="190C2CCF"/>
    <w:rsid w:val="191B2FB3"/>
    <w:rsid w:val="191C2C7A"/>
    <w:rsid w:val="19217965"/>
    <w:rsid w:val="19331878"/>
    <w:rsid w:val="19337FB7"/>
    <w:rsid w:val="193649A2"/>
    <w:rsid w:val="193724A4"/>
    <w:rsid w:val="19396BBC"/>
    <w:rsid w:val="19430869"/>
    <w:rsid w:val="195C68F6"/>
    <w:rsid w:val="196D5077"/>
    <w:rsid w:val="196F4756"/>
    <w:rsid w:val="19765DE2"/>
    <w:rsid w:val="198951A6"/>
    <w:rsid w:val="198A2850"/>
    <w:rsid w:val="19AF18AA"/>
    <w:rsid w:val="19B300CB"/>
    <w:rsid w:val="19C574E2"/>
    <w:rsid w:val="19CF70B3"/>
    <w:rsid w:val="19D93C88"/>
    <w:rsid w:val="19DF74E2"/>
    <w:rsid w:val="19E43909"/>
    <w:rsid w:val="1A03197E"/>
    <w:rsid w:val="1A1C0C1D"/>
    <w:rsid w:val="1A2E7E68"/>
    <w:rsid w:val="1A387342"/>
    <w:rsid w:val="1A4133F0"/>
    <w:rsid w:val="1A4E715D"/>
    <w:rsid w:val="1A633312"/>
    <w:rsid w:val="1A6C59DF"/>
    <w:rsid w:val="1A796949"/>
    <w:rsid w:val="1A8306ED"/>
    <w:rsid w:val="1A8C0100"/>
    <w:rsid w:val="1AA76EAC"/>
    <w:rsid w:val="1AB26AE6"/>
    <w:rsid w:val="1AB83FC8"/>
    <w:rsid w:val="1AC60D3C"/>
    <w:rsid w:val="1AD25FA5"/>
    <w:rsid w:val="1AD26418"/>
    <w:rsid w:val="1ADE224C"/>
    <w:rsid w:val="1AE85F18"/>
    <w:rsid w:val="1B0B53FB"/>
    <w:rsid w:val="1B0F04FE"/>
    <w:rsid w:val="1B1530FF"/>
    <w:rsid w:val="1B22274D"/>
    <w:rsid w:val="1B233ED4"/>
    <w:rsid w:val="1B35104F"/>
    <w:rsid w:val="1B3D79B2"/>
    <w:rsid w:val="1B461AFE"/>
    <w:rsid w:val="1B5050A3"/>
    <w:rsid w:val="1B515EE6"/>
    <w:rsid w:val="1B565FB5"/>
    <w:rsid w:val="1B632CF8"/>
    <w:rsid w:val="1B644A00"/>
    <w:rsid w:val="1B6C540C"/>
    <w:rsid w:val="1B7E0A19"/>
    <w:rsid w:val="1B867FA1"/>
    <w:rsid w:val="1B8A27E3"/>
    <w:rsid w:val="1B8F7D1E"/>
    <w:rsid w:val="1BA1301A"/>
    <w:rsid w:val="1BA40BFB"/>
    <w:rsid w:val="1BB65D00"/>
    <w:rsid w:val="1BDF5D1C"/>
    <w:rsid w:val="1BFE6261"/>
    <w:rsid w:val="1C007798"/>
    <w:rsid w:val="1C0450A9"/>
    <w:rsid w:val="1C0C400C"/>
    <w:rsid w:val="1C0D146B"/>
    <w:rsid w:val="1C1620D0"/>
    <w:rsid w:val="1C282FA4"/>
    <w:rsid w:val="1C3E4257"/>
    <w:rsid w:val="1C4D47CC"/>
    <w:rsid w:val="1C4F2AFB"/>
    <w:rsid w:val="1C532125"/>
    <w:rsid w:val="1C643716"/>
    <w:rsid w:val="1C68343D"/>
    <w:rsid w:val="1C740581"/>
    <w:rsid w:val="1C793C09"/>
    <w:rsid w:val="1C795CCD"/>
    <w:rsid w:val="1C7A153F"/>
    <w:rsid w:val="1C834A0B"/>
    <w:rsid w:val="1C862426"/>
    <w:rsid w:val="1C96650B"/>
    <w:rsid w:val="1C976A09"/>
    <w:rsid w:val="1C9A0360"/>
    <w:rsid w:val="1C9C3324"/>
    <w:rsid w:val="1CA918FE"/>
    <w:rsid w:val="1CC423B3"/>
    <w:rsid w:val="1CD613FE"/>
    <w:rsid w:val="1CE16BFA"/>
    <w:rsid w:val="1CE23A53"/>
    <w:rsid w:val="1CEF7482"/>
    <w:rsid w:val="1D027C2C"/>
    <w:rsid w:val="1D0330EB"/>
    <w:rsid w:val="1D0923F8"/>
    <w:rsid w:val="1D0B36E9"/>
    <w:rsid w:val="1D197541"/>
    <w:rsid w:val="1D1B1BB8"/>
    <w:rsid w:val="1D2E6B68"/>
    <w:rsid w:val="1D3366D6"/>
    <w:rsid w:val="1D453684"/>
    <w:rsid w:val="1D453D95"/>
    <w:rsid w:val="1D566260"/>
    <w:rsid w:val="1D5A3C34"/>
    <w:rsid w:val="1D6543B7"/>
    <w:rsid w:val="1D6727D6"/>
    <w:rsid w:val="1D74439D"/>
    <w:rsid w:val="1D7B54DF"/>
    <w:rsid w:val="1D914AA6"/>
    <w:rsid w:val="1D9A31E5"/>
    <w:rsid w:val="1D9B12B8"/>
    <w:rsid w:val="1D9F1F32"/>
    <w:rsid w:val="1DA375C8"/>
    <w:rsid w:val="1DA430D0"/>
    <w:rsid w:val="1DA95A17"/>
    <w:rsid w:val="1DB50D2D"/>
    <w:rsid w:val="1DCA651A"/>
    <w:rsid w:val="1DD16FF4"/>
    <w:rsid w:val="1DD41882"/>
    <w:rsid w:val="1DD74972"/>
    <w:rsid w:val="1DEF0743"/>
    <w:rsid w:val="1E045288"/>
    <w:rsid w:val="1E101D1B"/>
    <w:rsid w:val="1E246D53"/>
    <w:rsid w:val="1E2A5C78"/>
    <w:rsid w:val="1E3074DF"/>
    <w:rsid w:val="1E347212"/>
    <w:rsid w:val="1E347774"/>
    <w:rsid w:val="1E3E7572"/>
    <w:rsid w:val="1E586088"/>
    <w:rsid w:val="1E625ABC"/>
    <w:rsid w:val="1E6644E6"/>
    <w:rsid w:val="1E6B3481"/>
    <w:rsid w:val="1E6E0D27"/>
    <w:rsid w:val="1E743267"/>
    <w:rsid w:val="1E9F5E64"/>
    <w:rsid w:val="1EA02814"/>
    <w:rsid w:val="1ECB40D2"/>
    <w:rsid w:val="1ED52E16"/>
    <w:rsid w:val="1ED65260"/>
    <w:rsid w:val="1EDE26E6"/>
    <w:rsid w:val="1EF10217"/>
    <w:rsid w:val="1F04421F"/>
    <w:rsid w:val="1F170A07"/>
    <w:rsid w:val="1F1821BE"/>
    <w:rsid w:val="1F280AFF"/>
    <w:rsid w:val="1F5546C2"/>
    <w:rsid w:val="1F5A5C1F"/>
    <w:rsid w:val="1F6A1488"/>
    <w:rsid w:val="1F76576F"/>
    <w:rsid w:val="1F782B1C"/>
    <w:rsid w:val="1F7C4664"/>
    <w:rsid w:val="1F84183B"/>
    <w:rsid w:val="1F85619C"/>
    <w:rsid w:val="1FA95541"/>
    <w:rsid w:val="1FAB063B"/>
    <w:rsid w:val="1FBB0148"/>
    <w:rsid w:val="1FBF5BB2"/>
    <w:rsid w:val="1FC70C9E"/>
    <w:rsid w:val="1FE27733"/>
    <w:rsid w:val="1FE91329"/>
    <w:rsid w:val="1FEE4225"/>
    <w:rsid w:val="1FF417E2"/>
    <w:rsid w:val="1FF65319"/>
    <w:rsid w:val="1FFA6170"/>
    <w:rsid w:val="20053BA9"/>
    <w:rsid w:val="200B416D"/>
    <w:rsid w:val="200F3388"/>
    <w:rsid w:val="2034691E"/>
    <w:rsid w:val="20377D72"/>
    <w:rsid w:val="203E1E44"/>
    <w:rsid w:val="204C1E8E"/>
    <w:rsid w:val="204E308A"/>
    <w:rsid w:val="204F309C"/>
    <w:rsid w:val="205619FE"/>
    <w:rsid w:val="20726AFB"/>
    <w:rsid w:val="207515D6"/>
    <w:rsid w:val="20754854"/>
    <w:rsid w:val="20923EB3"/>
    <w:rsid w:val="20B90A79"/>
    <w:rsid w:val="20BC6C8D"/>
    <w:rsid w:val="20CA603C"/>
    <w:rsid w:val="20CC1715"/>
    <w:rsid w:val="20D21863"/>
    <w:rsid w:val="20DB3254"/>
    <w:rsid w:val="20DC4A46"/>
    <w:rsid w:val="20E41DCC"/>
    <w:rsid w:val="20EB2810"/>
    <w:rsid w:val="20F17FB7"/>
    <w:rsid w:val="20F24853"/>
    <w:rsid w:val="21126473"/>
    <w:rsid w:val="21182D6C"/>
    <w:rsid w:val="212D001A"/>
    <w:rsid w:val="213B655C"/>
    <w:rsid w:val="2140194E"/>
    <w:rsid w:val="21440320"/>
    <w:rsid w:val="214965E9"/>
    <w:rsid w:val="21644F31"/>
    <w:rsid w:val="21656A6F"/>
    <w:rsid w:val="21683262"/>
    <w:rsid w:val="216B64D9"/>
    <w:rsid w:val="217972E5"/>
    <w:rsid w:val="218A462F"/>
    <w:rsid w:val="218C4C45"/>
    <w:rsid w:val="21A606AA"/>
    <w:rsid w:val="21A776AF"/>
    <w:rsid w:val="21AE4F3D"/>
    <w:rsid w:val="21D2450B"/>
    <w:rsid w:val="21E347E0"/>
    <w:rsid w:val="21ED4096"/>
    <w:rsid w:val="21EF4537"/>
    <w:rsid w:val="21F6345B"/>
    <w:rsid w:val="22091044"/>
    <w:rsid w:val="221E5D17"/>
    <w:rsid w:val="222979C5"/>
    <w:rsid w:val="223B6A62"/>
    <w:rsid w:val="225A0C26"/>
    <w:rsid w:val="22636C07"/>
    <w:rsid w:val="22847C1A"/>
    <w:rsid w:val="228D10A8"/>
    <w:rsid w:val="229418BF"/>
    <w:rsid w:val="22B51467"/>
    <w:rsid w:val="22CD0468"/>
    <w:rsid w:val="22D53E11"/>
    <w:rsid w:val="22E441FF"/>
    <w:rsid w:val="22ED4C21"/>
    <w:rsid w:val="22F372D4"/>
    <w:rsid w:val="22F524F7"/>
    <w:rsid w:val="22F634DB"/>
    <w:rsid w:val="23016D89"/>
    <w:rsid w:val="230E502C"/>
    <w:rsid w:val="2313292F"/>
    <w:rsid w:val="23156C99"/>
    <w:rsid w:val="23241AE9"/>
    <w:rsid w:val="23242571"/>
    <w:rsid w:val="23281F3F"/>
    <w:rsid w:val="232D5A8A"/>
    <w:rsid w:val="232E762F"/>
    <w:rsid w:val="23311AB2"/>
    <w:rsid w:val="234879F6"/>
    <w:rsid w:val="235C72D8"/>
    <w:rsid w:val="235F4E93"/>
    <w:rsid w:val="237E4CC8"/>
    <w:rsid w:val="23882BC7"/>
    <w:rsid w:val="2394408C"/>
    <w:rsid w:val="23955C07"/>
    <w:rsid w:val="239E2BC2"/>
    <w:rsid w:val="23A32E6B"/>
    <w:rsid w:val="23A67DE6"/>
    <w:rsid w:val="23B07918"/>
    <w:rsid w:val="23B6556C"/>
    <w:rsid w:val="23BC493E"/>
    <w:rsid w:val="23C14AF7"/>
    <w:rsid w:val="23CE5891"/>
    <w:rsid w:val="23D12E6B"/>
    <w:rsid w:val="24014249"/>
    <w:rsid w:val="24014F79"/>
    <w:rsid w:val="24017E07"/>
    <w:rsid w:val="24224EF1"/>
    <w:rsid w:val="242B2075"/>
    <w:rsid w:val="24330306"/>
    <w:rsid w:val="24507B39"/>
    <w:rsid w:val="24547F01"/>
    <w:rsid w:val="2456627A"/>
    <w:rsid w:val="245F7E21"/>
    <w:rsid w:val="247B5F13"/>
    <w:rsid w:val="247C21E2"/>
    <w:rsid w:val="247D1E9E"/>
    <w:rsid w:val="24895EDF"/>
    <w:rsid w:val="249405BB"/>
    <w:rsid w:val="249E5FEC"/>
    <w:rsid w:val="249F670E"/>
    <w:rsid w:val="24B014C3"/>
    <w:rsid w:val="24B541B0"/>
    <w:rsid w:val="24BA50B1"/>
    <w:rsid w:val="24CA4C9E"/>
    <w:rsid w:val="24CA6C0C"/>
    <w:rsid w:val="24DF00EF"/>
    <w:rsid w:val="24E348E3"/>
    <w:rsid w:val="25090975"/>
    <w:rsid w:val="250D4262"/>
    <w:rsid w:val="25135268"/>
    <w:rsid w:val="251F48C3"/>
    <w:rsid w:val="252A1AEE"/>
    <w:rsid w:val="252A64E9"/>
    <w:rsid w:val="25344A92"/>
    <w:rsid w:val="25347132"/>
    <w:rsid w:val="25413531"/>
    <w:rsid w:val="254B01A3"/>
    <w:rsid w:val="254F63AD"/>
    <w:rsid w:val="25542C2B"/>
    <w:rsid w:val="25621704"/>
    <w:rsid w:val="25700D61"/>
    <w:rsid w:val="25794E3B"/>
    <w:rsid w:val="25913128"/>
    <w:rsid w:val="25986C76"/>
    <w:rsid w:val="259A33C9"/>
    <w:rsid w:val="25B21BAF"/>
    <w:rsid w:val="25B33565"/>
    <w:rsid w:val="25B61ED0"/>
    <w:rsid w:val="25C21102"/>
    <w:rsid w:val="25C65ADC"/>
    <w:rsid w:val="25CE2B39"/>
    <w:rsid w:val="25D90644"/>
    <w:rsid w:val="25E343FA"/>
    <w:rsid w:val="25E4534A"/>
    <w:rsid w:val="25E64398"/>
    <w:rsid w:val="262858C9"/>
    <w:rsid w:val="263740A3"/>
    <w:rsid w:val="263913EE"/>
    <w:rsid w:val="263A2BE6"/>
    <w:rsid w:val="26467615"/>
    <w:rsid w:val="264D7AC3"/>
    <w:rsid w:val="264F1ED9"/>
    <w:rsid w:val="265E26DA"/>
    <w:rsid w:val="266379D6"/>
    <w:rsid w:val="26670E60"/>
    <w:rsid w:val="2668044D"/>
    <w:rsid w:val="26777874"/>
    <w:rsid w:val="267A52D4"/>
    <w:rsid w:val="267D0D2B"/>
    <w:rsid w:val="267F7978"/>
    <w:rsid w:val="26822262"/>
    <w:rsid w:val="2690150F"/>
    <w:rsid w:val="269636CC"/>
    <w:rsid w:val="269B139D"/>
    <w:rsid w:val="269F1239"/>
    <w:rsid w:val="26A166AF"/>
    <w:rsid w:val="26A32BAF"/>
    <w:rsid w:val="26D97A1B"/>
    <w:rsid w:val="26DD71D8"/>
    <w:rsid w:val="26F86E12"/>
    <w:rsid w:val="26FB5954"/>
    <w:rsid w:val="270A7E21"/>
    <w:rsid w:val="271A75F7"/>
    <w:rsid w:val="271B4205"/>
    <w:rsid w:val="27285D46"/>
    <w:rsid w:val="2729662E"/>
    <w:rsid w:val="273C6E7E"/>
    <w:rsid w:val="27446BEA"/>
    <w:rsid w:val="27446E8C"/>
    <w:rsid w:val="27461617"/>
    <w:rsid w:val="27461A40"/>
    <w:rsid w:val="274F02AD"/>
    <w:rsid w:val="276344C3"/>
    <w:rsid w:val="276A55EE"/>
    <w:rsid w:val="277456B7"/>
    <w:rsid w:val="27877AE0"/>
    <w:rsid w:val="27910C70"/>
    <w:rsid w:val="27931CB2"/>
    <w:rsid w:val="27A56755"/>
    <w:rsid w:val="27C135E7"/>
    <w:rsid w:val="27C14E60"/>
    <w:rsid w:val="27EC18FC"/>
    <w:rsid w:val="27EC6131"/>
    <w:rsid w:val="27FA5955"/>
    <w:rsid w:val="27FD093D"/>
    <w:rsid w:val="27FF6FD7"/>
    <w:rsid w:val="281C1A56"/>
    <w:rsid w:val="283C321D"/>
    <w:rsid w:val="284E2B64"/>
    <w:rsid w:val="28656E04"/>
    <w:rsid w:val="28667C09"/>
    <w:rsid w:val="28682828"/>
    <w:rsid w:val="286933AC"/>
    <w:rsid w:val="28770552"/>
    <w:rsid w:val="28824BC2"/>
    <w:rsid w:val="288C3079"/>
    <w:rsid w:val="289D139B"/>
    <w:rsid w:val="28A17454"/>
    <w:rsid w:val="28A84560"/>
    <w:rsid w:val="28B92CA4"/>
    <w:rsid w:val="28BB6136"/>
    <w:rsid w:val="28C17522"/>
    <w:rsid w:val="28C600D0"/>
    <w:rsid w:val="28CC436E"/>
    <w:rsid w:val="28D64766"/>
    <w:rsid w:val="28ED3933"/>
    <w:rsid w:val="28ED6CC1"/>
    <w:rsid w:val="290B6697"/>
    <w:rsid w:val="292145FD"/>
    <w:rsid w:val="29230445"/>
    <w:rsid w:val="29292F5C"/>
    <w:rsid w:val="292F6A77"/>
    <w:rsid w:val="29457FED"/>
    <w:rsid w:val="29492652"/>
    <w:rsid w:val="296E05EC"/>
    <w:rsid w:val="2971247D"/>
    <w:rsid w:val="29792B88"/>
    <w:rsid w:val="29824F67"/>
    <w:rsid w:val="2997301A"/>
    <w:rsid w:val="2998733E"/>
    <w:rsid w:val="29B120D1"/>
    <w:rsid w:val="29BB6961"/>
    <w:rsid w:val="29D6416C"/>
    <w:rsid w:val="29D91DA0"/>
    <w:rsid w:val="29E94F22"/>
    <w:rsid w:val="29EB214E"/>
    <w:rsid w:val="29F14852"/>
    <w:rsid w:val="29F444B1"/>
    <w:rsid w:val="2A2665E5"/>
    <w:rsid w:val="2A343590"/>
    <w:rsid w:val="2A396234"/>
    <w:rsid w:val="2A3F2B6B"/>
    <w:rsid w:val="2A4B2DC3"/>
    <w:rsid w:val="2A6F5F9C"/>
    <w:rsid w:val="2A7D42F0"/>
    <w:rsid w:val="2A7E7B2D"/>
    <w:rsid w:val="2A944DC2"/>
    <w:rsid w:val="2A9A2C92"/>
    <w:rsid w:val="2AB01988"/>
    <w:rsid w:val="2ACF128B"/>
    <w:rsid w:val="2AD11EA9"/>
    <w:rsid w:val="2AD25FBA"/>
    <w:rsid w:val="2AFA696C"/>
    <w:rsid w:val="2AFC3AF5"/>
    <w:rsid w:val="2B0611EA"/>
    <w:rsid w:val="2B197F85"/>
    <w:rsid w:val="2B204062"/>
    <w:rsid w:val="2B327348"/>
    <w:rsid w:val="2B3C2587"/>
    <w:rsid w:val="2B4048DC"/>
    <w:rsid w:val="2B462AA8"/>
    <w:rsid w:val="2B57055D"/>
    <w:rsid w:val="2B57324E"/>
    <w:rsid w:val="2B743891"/>
    <w:rsid w:val="2B797375"/>
    <w:rsid w:val="2B857935"/>
    <w:rsid w:val="2B971D11"/>
    <w:rsid w:val="2BA96C91"/>
    <w:rsid w:val="2BB3391B"/>
    <w:rsid w:val="2BC47919"/>
    <w:rsid w:val="2BC7733E"/>
    <w:rsid w:val="2BC8077D"/>
    <w:rsid w:val="2BCC10CC"/>
    <w:rsid w:val="2BD04190"/>
    <w:rsid w:val="2BD25537"/>
    <w:rsid w:val="2BE35732"/>
    <w:rsid w:val="2C076C5D"/>
    <w:rsid w:val="2C171E10"/>
    <w:rsid w:val="2C2A486D"/>
    <w:rsid w:val="2C2B3376"/>
    <w:rsid w:val="2C2C046C"/>
    <w:rsid w:val="2C2C786F"/>
    <w:rsid w:val="2C323470"/>
    <w:rsid w:val="2C3B56CA"/>
    <w:rsid w:val="2C3E7CD1"/>
    <w:rsid w:val="2C495AC4"/>
    <w:rsid w:val="2C682E5E"/>
    <w:rsid w:val="2C7733CD"/>
    <w:rsid w:val="2C856009"/>
    <w:rsid w:val="2C8B004F"/>
    <w:rsid w:val="2C8E5F53"/>
    <w:rsid w:val="2C91568B"/>
    <w:rsid w:val="2C953A73"/>
    <w:rsid w:val="2CA55FD6"/>
    <w:rsid w:val="2CAC1BBA"/>
    <w:rsid w:val="2CC25A55"/>
    <w:rsid w:val="2CCB30EA"/>
    <w:rsid w:val="2CCC466A"/>
    <w:rsid w:val="2CCD6003"/>
    <w:rsid w:val="2CD04F0E"/>
    <w:rsid w:val="2CDF049E"/>
    <w:rsid w:val="2CE41D9B"/>
    <w:rsid w:val="2CF5734C"/>
    <w:rsid w:val="2D073FA4"/>
    <w:rsid w:val="2D1D76EA"/>
    <w:rsid w:val="2D245EB1"/>
    <w:rsid w:val="2D276E27"/>
    <w:rsid w:val="2D282918"/>
    <w:rsid w:val="2D3F0316"/>
    <w:rsid w:val="2D434739"/>
    <w:rsid w:val="2D4E6BFA"/>
    <w:rsid w:val="2D5105B0"/>
    <w:rsid w:val="2D573947"/>
    <w:rsid w:val="2D611DE3"/>
    <w:rsid w:val="2D645416"/>
    <w:rsid w:val="2D6A6978"/>
    <w:rsid w:val="2D7E7353"/>
    <w:rsid w:val="2D881B03"/>
    <w:rsid w:val="2DA25913"/>
    <w:rsid w:val="2DCC642F"/>
    <w:rsid w:val="2DDA0B49"/>
    <w:rsid w:val="2DDB032D"/>
    <w:rsid w:val="2DDD70F2"/>
    <w:rsid w:val="2DDF1E00"/>
    <w:rsid w:val="2DE32066"/>
    <w:rsid w:val="2DE47B43"/>
    <w:rsid w:val="2DF53813"/>
    <w:rsid w:val="2E106210"/>
    <w:rsid w:val="2E14284A"/>
    <w:rsid w:val="2E1D00BC"/>
    <w:rsid w:val="2E225D9E"/>
    <w:rsid w:val="2E293FFE"/>
    <w:rsid w:val="2E4B7451"/>
    <w:rsid w:val="2E5806C5"/>
    <w:rsid w:val="2E647240"/>
    <w:rsid w:val="2E656BF8"/>
    <w:rsid w:val="2E732178"/>
    <w:rsid w:val="2E7D5899"/>
    <w:rsid w:val="2E8E794E"/>
    <w:rsid w:val="2E914492"/>
    <w:rsid w:val="2E9F0BED"/>
    <w:rsid w:val="2EAD35AD"/>
    <w:rsid w:val="2EB17749"/>
    <w:rsid w:val="2EC23082"/>
    <w:rsid w:val="2EC721DD"/>
    <w:rsid w:val="2ED82618"/>
    <w:rsid w:val="2EDC2599"/>
    <w:rsid w:val="2EE30F67"/>
    <w:rsid w:val="2EE56223"/>
    <w:rsid w:val="2F094658"/>
    <w:rsid w:val="2F156009"/>
    <w:rsid w:val="2F2E19BB"/>
    <w:rsid w:val="2F5B478B"/>
    <w:rsid w:val="2F6C533C"/>
    <w:rsid w:val="2F756F56"/>
    <w:rsid w:val="2F8B0771"/>
    <w:rsid w:val="2F924890"/>
    <w:rsid w:val="2F9456D3"/>
    <w:rsid w:val="2F9620E0"/>
    <w:rsid w:val="2FA137A2"/>
    <w:rsid w:val="2FA6151E"/>
    <w:rsid w:val="2FAB6854"/>
    <w:rsid w:val="2FB270B8"/>
    <w:rsid w:val="2FB718DE"/>
    <w:rsid w:val="2FC70D12"/>
    <w:rsid w:val="2FCC7CB4"/>
    <w:rsid w:val="2FCF19F6"/>
    <w:rsid w:val="2FDE2969"/>
    <w:rsid w:val="2FE46353"/>
    <w:rsid w:val="2FE819DE"/>
    <w:rsid w:val="3013485C"/>
    <w:rsid w:val="301A1704"/>
    <w:rsid w:val="302360EE"/>
    <w:rsid w:val="30243544"/>
    <w:rsid w:val="30266794"/>
    <w:rsid w:val="303B1E77"/>
    <w:rsid w:val="303D63F4"/>
    <w:rsid w:val="30622472"/>
    <w:rsid w:val="3063623E"/>
    <w:rsid w:val="306425B6"/>
    <w:rsid w:val="30665958"/>
    <w:rsid w:val="308E454F"/>
    <w:rsid w:val="3092679D"/>
    <w:rsid w:val="3099050F"/>
    <w:rsid w:val="30997544"/>
    <w:rsid w:val="30A55E8D"/>
    <w:rsid w:val="30B40474"/>
    <w:rsid w:val="30B7161D"/>
    <w:rsid w:val="30BA1DC3"/>
    <w:rsid w:val="30BC6925"/>
    <w:rsid w:val="30D04567"/>
    <w:rsid w:val="30D52A9B"/>
    <w:rsid w:val="30E83441"/>
    <w:rsid w:val="3114110B"/>
    <w:rsid w:val="311B416A"/>
    <w:rsid w:val="312A21AA"/>
    <w:rsid w:val="313112AC"/>
    <w:rsid w:val="31395A0E"/>
    <w:rsid w:val="31426210"/>
    <w:rsid w:val="31461AB8"/>
    <w:rsid w:val="31594169"/>
    <w:rsid w:val="316D2F59"/>
    <w:rsid w:val="31761209"/>
    <w:rsid w:val="31795311"/>
    <w:rsid w:val="317A5111"/>
    <w:rsid w:val="31957888"/>
    <w:rsid w:val="31A8255C"/>
    <w:rsid w:val="31BA061A"/>
    <w:rsid w:val="31D72F24"/>
    <w:rsid w:val="31DD4190"/>
    <w:rsid w:val="31E73865"/>
    <w:rsid w:val="31E9527E"/>
    <w:rsid w:val="31EE06CE"/>
    <w:rsid w:val="31FA2157"/>
    <w:rsid w:val="320525A9"/>
    <w:rsid w:val="32057543"/>
    <w:rsid w:val="32077E48"/>
    <w:rsid w:val="320D5DB6"/>
    <w:rsid w:val="321A193D"/>
    <w:rsid w:val="32246A5E"/>
    <w:rsid w:val="323B7351"/>
    <w:rsid w:val="323C6D0E"/>
    <w:rsid w:val="323E1453"/>
    <w:rsid w:val="324921E0"/>
    <w:rsid w:val="324E6DF8"/>
    <w:rsid w:val="325628CD"/>
    <w:rsid w:val="325D227C"/>
    <w:rsid w:val="32627FC8"/>
    <w:rsid w:val="32721228"/>
    <w:rsid w:val="328F1066"/>
    <w:rsid w:val="329D7E14"/>
    <w:rsid w:val="32A2471C"/>
    <w:rsid w:val="32A74C8E"/>
    <w:rsid w:val="32B7443C"/>
    <w:rsid w:val="32C3229F"/>
    <w:rsid w:val="32CF3152"/>
    <w:rsid w:val="32D13EA8"/>
    <w:rsid w:val="32D408AD"/>
    <w:rsid w:val="32D429C3"/>
    <w:rsid w:val="32E31083"/>
    <w:rsid w:val="32ED4355"/>
    <w:rsid w:val="32FB489D"/>
    <w:rsid w:val="330121DA"/>
    <w:rsid w:val="33081450"/>
    <w:rsid w:val="3313530E"/>
    <w:rsid w:val="331A333D"/>
    <w:rsid w:val="33204DF1"/>
    <w:rsid w:val="332259AF"/>
    <w:rsid w:val="332E1A57"/>
    <w:rsid w:val="332F7655"/>
    <w:rsid w:val="33306105"/>
    <w:rsid w:val="334C6347"/>
    <w:rsid w:val="33732602"/>
    <w:rsid w:val="33773CF9"/>
    <w:rsid w:val="33816748"/>
    <w:rsid w:val="338E442E"/>
    <w:rsid w:val="338F4D83"/>
    <w:rsid w:val="33DD2557"/>
    <w:rsid w:val="33E461D9"/>
    <w:rsid w:val="33F21933"/>
    <w:rsid w:val="33F9351A"/>
    <w:rsid w:val="33FB37E6"/>
    <w:rsid w:val="34005D8C"/>
    <w:rsid w:val="341C7714"/>
    <w:rsid w:val="3430284A"/>
    <w:rsid w:val="34347325"/>
    <w:rsid w:val="34456026"/>
    <w:rsid w:val="34685E6C"/>
    <w:rsid w:val="346F5AD4"/>
    <w:rsid w:val="347C7256"/>
    <w:rsid w:val="34800515"/>
    <w:rsid w:val="34805DA3"/>
    <w:rsid w:val="3484561C"/>
    <w:rsid w:val="34974D1E"/>
    <w:rsid w:val="349C6447"/>
    <w:rsid w:val="34AE48CB"/>
    <w:rsid w:val="34AF577A"/>
    <w:rsid w:val="34B06D32"/>
    <w:rsid w:val="34B2702D"/>
    <w:rsid w:val="34BF69D2"/>
    <w:rsid w:val="34C20242"/>
    <w:rsid w:val="34C77CB1"/>
    <w:rsid w:val="34C86628"/>
    <w:rsid w:val="34CB3B5E"/>
    <w:rsid w:val="34CF5C16"/>
    <w:rsid w:val="34F10E05"/>
    <w:rsid w:val="34F40855"/>
    <w:rsid w:val="34F40CEA"/>
    <w:rsid w:val="34F91A28"/>
    <w:rsid w:val="35114CAF"/>
    <w:rsid w:val="353D200E"/>
    <w:rsid w:val="355A30F9"/>
    <w:rsid w:val="355B3A02"/>
    <w:rsid w:val="355F3E03"/>
    <w:rsid w:val="35683B43"/>
    <w:rsid w:val="356D3D7D"/>
    <w:rsid w:val="35770DB4"/>
    <w:rsid w:val="35A86EBE"/>
    <w:rsid w:val="35A91F9F"/>
    <w:rsid w:val="35EA2F20"/>
    <w:rsid w:val="35EE70EE"/>
    <w:rsid w:val="35F8380E"/>
    <w:rsid w:val="361230A4"/>
    <w:rsid w:val="36331E5D"/>
    <w:rsid w:val="36363096"/>
    <w:rsid w:val="36451B2B"/>
    <w:rsid w:val="3649248B"/>
    <w:rsid w:val="368760E3"/>
    <w:rsid w:val="36896026"/>
    <w:rsid w:val="36957418"/>
    <w:rsid w:val="36AD48F7"/>
    <w:rsid w:val="36B36642"/>
    <w:rsid w:val="36D57471"/>
    <w:rsid w:val="36DB2D32"/>
    <w:rsid w:val="36DE5E6F"/>
    <w:rsid w:val="36E12C83"/>
    <w:rsid w:val="36E54246"/>
    <w:rsid w:val="36E82A86"/>
    <w:rsid w:val="36EB266A"/>
    <w:rsid w:val="36EF6496"/>
    <w:rsid w:val="37032A19"/>
    <w:rsid w:val="37094D38"/>
    <w:rsid w:val="370F6D79"/>
    <w:rsid w:val="371148D9"/>
    <w:rsid w:val="372657E2"/>
    <w:rsid w:val="37321784"/>
    <w:rsid w:val="374E7653"/>
    <w:rsid w:val="375236F4"/>
    <w:rsid w:val="37543CFB"/>
    <w:rsid w:val="37550848"/>
    <w:rsid w:val="375E3C55"/>
    <w:rsid w:val="37675326"/>
    <w:rsid w:val="3768205D"/>
    <w:rsid w:val="376A5D2E"/>
    <w:rsid w:val="376A5EFB"/>
    <w:rsid w:val="377F3FF2"/>
    <w:rsid w:val="37885005"/>
    <w:rsid w:val="37930B09"/>
    <w:rsid w:val="37A2598D"/>
    <w:rsid w:val="37AA57E1"/>
    <w:rsid w:val="37BC5C00"/>
    <w:rsid w:val="37C22E42"/>
    <w:rsid w:val="37C46D2B"/>
    <w:rsid w:val="37CA3E33"/>
    <w:rsid w:val="37E73669"/>
    <w:rsid w:val="37F1459E"/>
    <w:rsid w:val="37F14FA7"/>
    <w:rsid w:val="37F235DD"/>
    <w:rsid w:val="37FB19F8"/>
    <w:rsid w:val="37FB7D2D"/>
    <w:rsid w:val="38177249"/>
    <w:rsid w:val="38185B5C"/>
    <w:rsid w:val="38221BF7"/>
    <w:rsid w:val="382F702F"/>
    <w:rsid w:val="38356E64"/>
    <w:rsid w:val="38496CB0"/>
    <w:rsid w:val="384A7D15"/>
    <w:rsid w:val="384F5619"/>
    <w:rsid w:val="3850647B"/>
    <w:rsid w:val="3854516A"/>
    <w:rsid w:val="38624FC2"/>
    <w:rsid w:val="388B19AD"/>
    <w:rsid w:val="388E46C0"/>
    <w:rsid w:val="38997765"/>
    <w:rsid w:val="389A7D65"/>
    <w:rsid w:val="38AF6483"/>
    <w:rsid w:val="38B07D42"/>
    <w:rsid w:val="38B32B36"/>
    <w:rsid w:val="38B91261"/>
    <w:rsid w:val="38C02337"/>
    <w:rsid w:val="38C42BC0"/>
    <w:rsid w:val="38CB3D03"/>
    <w:rsid w:val="38CE1465"/>
    <w:rsid w:val="38CF53F2"/>
    <w:rsid w:val="38DB1DBB"/>
    <w:rsid w:val="38EC6159"/>
    <w:rsid w:val="38F24DAA"/>
    <w:rsid w:val="38FD7758"/>
    <w:rsid w:val="39091FC3"/>
    <w:rsid w:val="390E15C9"/>
    <w:rsid w:val="391175CF"/>
    <w:rsid w:val="39136250"/>
    <w:rsid w:val="39161B92"/>
    <w:rsid w:val="39204934"/>
    <w:rsid w:val="3925049B"/>
    <w:rsid w:val="393E5D87"/>
    <w:rsid w:val="39410582"/>
    <w:rsid w:val="395D6FAF"/>
    <w:rsid w:val="39611068"/>
    <w:rsid w:val="3974343C"/>
    <w:rsid w:val="39752D68"/>
    <w:rsid w:val="397A01BF"/>
    <w:rsid w:val="39897D35"/>
    <w:rsid w:val="398B09CF"/>
    <w:rsid w:val="398F4D71"/>
    <w:rsid w:val="3993034E"/>
    <w:rsid w:val="399C4987"/>
    <w:rsid w:val="399E7CB7"/>
    <w:rsid w:val="39AE1D78"/>
    <w:rsid w:val="39B57B99"/>
    <w:rsid w:val="39BB2CC8"/>
    <w:rsid w:val="39C541A8"/>
    <w:rsid w:val="39C75AD3"/>
    <w:rsid w:val="39CA7C6B"/>
    <w:rsid w:val="39D23511"/>
    <w:rsid w:val="39D42118"/>
    <w:rsid w:val="39D84A7F"/>
    <w:rsid w:val="39DA0AF2"/>
    <w:rsid w:val="39EE03CF"/>
    <w:rsid w:val="39EE3A24"/>
    <w:rsid w:val="3A0B0927"/>
    <w:rsid w:val="3A0E2608"/>
    <w:rsid w:val="3A1731BF"/>
    <w:rsid w:val="3A332CF9"/>
    <w:rsid w:val="3A38702A"/>
    <w:rsid w:val="3A3A5366"/>
    <w:rsid w:val="3A492E5E"/>
    <w:rsid w:val="3A4E4EE0"/>
    <w:rsid w:val="3A530425"/>
    <w:rsid w:val="3A5534FA"/>
    <w:rsid w:val="3A5920FB"/>
    <w:rsid w:val="3A676EB0"/>
    <w:rsid w:val="3A765E6F"/>
    <w:rsid w:val="3A815CC9"/>
    <w:rsid w:val="3A97475B"/>
    <w:rsid w:val="3A9E5B25"/>
    <w:rsid w:val="3AA01F33"/>
    <w:rsid w:val="3AA5456C"/>
    <w:rsid w:val="3AAD251D"/>
    <w:rsid w:val="3AAE0AE3"/>
    <w:rsid w:val="3AAE7C28"/>
    <w:rsid w:val="3AC218B9"/>
    <w:rsid w:val="3AD314C9"/>
    <w:rsid w:val="3ADF1436"/>
    <w:rsid w:val="3AEA7B94"/>
    <w:rsid w:val="3AF454EE"/>
    <w:rsid w:val="3AF725D7"/>
    <w:rsid w:val="3AF941E5"/>
    <w:rsid w:val="3B0503CE"/>
    <w:rsid w:val="3B0B6510"/>
    <w:rsid w:val="3B144CC3"/>
    <w:rsid w:val="3B352B29"/>
    <w:rsid w:val="3B417EA2"/>
    <w:rsid w:val="3B436909"/>
    <w:rsid w:val="3B4A2E28"/>
    <w:rsid w:val="3B63678E"/>
    <w:rsid w:val="3B771F5B"/>
    <w:rsid w:val="3BAA674A"/>
    <w:rsid w:val="3BB827C0"/>
    <w:rsid w:val="3BBB7A8A"/>
    <w:rsid w:val="3BC51A1E"/>
    <w:rsid w:val="3BC64927"/>
    <w:rsid w:val="3BC91666"/>
    <w:rsid w:val="3BCA2438"/>
    <w:rsid w:val="3BD30024"/>
    <w:rsid w:val="3BD903B7"/>
    <w:rsid w:val="3BE406C1"/>
    <w:rsid w:val="3BF51C7A"/>
    <w:rsid w:val="3C002C7A"/>
    <w:rsid w:val="3C05192B"/>
    <w:rsid w:val="3C0B230F"/>
    <w:rsid w:val="3C2A29CB"/>
    <w:rsid w:val="3C610B7F"/>
    <w:rsid w:val="3C706538"/>
    <w:rsid w:val="3C732DDB"/>
    <w:rsid w:val="3C7B2F84"/>
    <w:rsid w:val="3C7D2483"/>
    <w:rsid w:val="3C8A5729"/>
    <w:rsid w:val="3C8B2F19"/>
    <w:rsid w:val="3C8C4549"/>
    <w:rsid w:val="3CA820B5"/>
    <w:rsid w:val="3CB912B9"/>
    <w:rsid w:val="3CBC1ED6"/>
    <w:rsid w:val="3CC8363F"/>
    <w:rsid w:val="3CCE14AF"/>
    <w:rsid w:val="3CD26C1F"/>
    <w:rsid w:val="3CE23C96"/>
    <w:rsid w:val="3CF156C3"/>
    <w:rsid w:val="3CF21009"/>
    <w:rsid w:val="3D042423"/>
    <w:rsid w:val="3D055C12"/>
    <w:rsid w:val="3D072048"/>
    <w:rsid w:val="3D0B68E0"/>
    <w:rsid w:val="3D0D0182"/>
    <w:rsid w:val="3D110760"/>
    <w:rsid w:val="3D1114AD"/>
    <w:rsid w:val="3D121B72"/>
    <w:rsid w:val="3D346C9B"/>
    <w:rsid w:val="3D487895"/>
    <w:rsid w:val="3D4F2264"/>
    <w:rsid w:val="3D5052AF"/>
    <w:rsid w:val="3D530D22"/>
    <w:rsid w:val="3D6756EB"/>
    <w:rsid w:val="3D6E0D98"/>
    <w:rsid w:val="3D703B71"/>
    <w:rsid w:val="3D772E4F"/>
    <w:rsid w:val="3D785CA3"/>
    <w:rsid w:val="3D7D5A86"/>
    <w:rsid w:val="3D823C73"/>
    <w:rsid w:val="3D862EC5"/>
    <w:rsid w:val="3D890DCF"/>
    <w:rsid w:val="3D9A1CEA"/>
    <w:rsid w:val="3D9D00F9"/>
    <w:rsid w:val="3DA213E7"/>
    <w:rsid w:val="3DB41FE3"/>
    <w:rsid w:val="3DD04CDD"/>
    <w:rsid w:val="3DD73D32"/>
    <w:rsid w:val="3DD941B7"/>
    <w:rsid w:val="3DE20E53"/>
    <w:rsid w:val="3DE464C6"/>
    <w:rsid w:val="3DEB3F50"/>
    <w:rsid w:val="3DF52514"/>
    <w:rsid w:val="3E022261"/>
    <w:rsid w:val="3E0A7B67"/>
    <w:rsid w:val="3E0F6EB0"/>
    <w:rsid w:val="3E114D0C"/>
    <w:rsid w:val="3E261C65"/>
    <w:rsid w:val="3E2C0236"/>
    <w:rsid w:val="3E323125"/>
    <w:rsid w:val="3E3C453A"/>
    <w:rsid w:val="3E3E0C8C"/>
    <w:rsid w:val="3E4109AC"/>
    <w:rsid w:val="3E450472"/>
    <w:rsid w:val="3E5C5253"/>
    <w:rsid w:val="3E5D0FA2"/>
    <w:rsid w:val="3E7C1F15"/>
    <w:rsid w:val="3E7E0146"/>
    <w:rsid w:val="3E821E22"/>
    <w:rsid w:val="3E8977B4"/>
    <w:rsid w:val="3E8E63FD"/>
    <w:rsid w:val="3E9A2EBB"/>
    <w:rsid w:val="3EA20E87"/>
    <w:rsid w:val="3EC2199E"/>
    <w:rsid w:val="3EC5423B"/>
    <w:rsid w:val="3ED22010"/>
    <w:rsid w:val="3ED86200"/>
    <w:rsid w:val="3ED953F2"/>
    <w:rsid w:val="3EDE4F3D"/>
    <w:rsid w:val="3EEA476D"/>
    <w:rsid w:val="3EEB734A"/>
    <w:rsid w:val="3EEE4288"/>
    <w:rsid w:val="3EF32FAE"/>
    <w:rsid w:val="3F077AC3"/>
    <w:rsid w:val="3F141FFC"/>
    <w:rsid w:val="3F163A7B"/>
    <w:rsid w:val="3F21283D"/>
    <w:rsid w:val="3F264863"/>
    <w:rsid w:val="3F363D97"/>
    <w:rsid w:val="3F375D5D"/>
    <w:rsid w:val="3F4E0407"/>
    <w:rsid w:val="3F5B1670"/>
    <w:rsid w:val="3F676BCA"/>
    <w:rsid w:val="3F6C0040"/>
    <w:rsid w:val="3F6F7D74"/>
    <w:rsid w:val="3F7C345F"/>
    <w:rsid w:val="3F955AE7"/>
    <w:rsid w:val="3F9911D6"/>
    <w:rsid w:val="3FA42BB1"/>
    <w:rsid w:val="3FA77831"/>
    <w:rsid w:val="3FBA53D2"/>
    <w:rsid w:val="3FBE69AF"/>
    <w:rsid w:val="3FD537DD"/>
    <w:rsid w:val="3FD7792D"/>
    <w:rsid w:val="3FD822DE"/>
    <w:rsid w:val="3FE06E4D"/>
    <w:rsid w:val="3FE30BFF"/>
    <w:rsid w:val="3FE76C43"/>
    <w:rsid w:val="3FEB1428"/>
    <w:rsid w:val="3FED5823"/>
    <w:rsid w:val="3FF00A14"/>
    <w:rsid w:val="3FFB07D1"/>
    <w:rsid w:val="40046092"/>
    <w:rsid w:val="403045DC"/>
    <w:rsid w:val="40311D00"/>
    <w:rsid w:val="40363D0D"/>
    <w:rsid w:val="403E1EB1"/>
    <w:rsid w:val="404A2CB2"/>
    <w:rsid w:val="404E3A71"/>
    <w:rsid w:val="40505B4B"/>
    <w:rsid w:val="40545FFE"/>
    <w:rsid w:val="405B648B"/>
    <w:rsid w:val="40644B43"/>
    <w:rsid w:val="406733A8"/>
    <w:rsid w:val="406D1B56"/>
    <w:rsid w:val="406F42CB"/>
    <w:rsid w:val="40701A8C"/>
    <w:rsid w:val="407D63A8"/>
    <w:rsid w:val="408A682B"/>
    <w:rsid w:val="40A876D7"/>
    <w:rsid w:val="40AE4D1E"/>
    <w:rsid w:val="40B015FF"/>
    <w:rsid w:val="40D46D05"/>
    <w:rsid w:val="40D477B8"/>
    <w:rsid w:val="40DC5B7C"/>
    <w:rsid w:val="41027124"/>
    <w:rsid w:val="41070E7A"/>
    <w:rsid w:val="410C3C94"/>
    <w:rsid w:val="410C55BD"/>
    <w:rsid w:val="410E1F8A"/>
    <w:rsid w:val="41135618"/>
    <w:rsid w:val="4115375B"/>
    <w:rsid w:val="41160C7E"/>
    <w:rsid w:val="41236BC9"/>
    <w:rsid w:val="41317226"/>
    <w:rsid w:val="4147182F"/>
    <w:rsid w:val="415A2554"/>
    <w:rsid w:val="415D32D9"/>
    <w:rsid w:val="416D4543"/>
    <w:rsid w:val="417477BB"/>
    <w:rsid w:val="417F1F85"/>
    <w:rsid w:val="41842677"/>
    <w:rsid w:val="41A37B71"/>
    <w:rsid w:val="41A42A9A"/>
    <w:rsid w:val="41AC12E5"/>
    <w:rsid w:val="41B03EF2"/>
    <w:rsid w:val="41B6128E"/>
    <w:rsid w:val="41C6512B"/>
    <w:rsid w:val="41CB512B"/>
    <w:rsid w:val="41D5643B"/>
    <w:rsid w:val="41E609D3"/>
    <w:rsid w:val="41EA7EA0"/>
    <w:rsid w:val="41EB170B"/>
    <w:rsid w:val="41F978B0"/>
    <w:rsid w:val="41FC65D3"/>
    <w:rsid w:val="4201117C"/>
    <w:rsid w:val="420978A9"/>
    <w:rsid w:val="421022D9"/>
    <w:rsid w:val="421160D7"/>
    <w:rsid w:val="42273570"/>
    <w:rsid w:val="423C2F5B"/>
    <w:rsid w:val="42440060"/>
    <w:rsid w:val="424D5F67"/>
    <w:rsid w:val="42530C13"/>
    <w:rsid w:val="42666010"/>
    <w:rsid w:val="427A7361"/>
    <w:rsid w:val="4287745E"/>
    <w:rsid w:val="42A60509"/>
    <w:rsid w:val="42B8535D"/>
    <w:rsid w:val="42BC6038"/>
    <w:rsid w:val="42CB66B9"/>
    <w:rsid w:val="42E442A0"/>
    <w:rsid w:val="42EA3D64"/>
    <w:rsid w:val="42EA5934"/>
    <w:rsid w:val="42F5262B"/>
    <w:rsid w:val="42F72693"/>
    <w:rsid w:val="43002F6D"/>
    <w:rsid w:val="43291CCE"/>
    <w:rsid w:val="433455A6"/>
    <w:rsid w:val="434D44FC"/>
    <w:rsid w:val="435C7DD3"/>
    <w:rsid w:val="435D0DF1"/>
    <w:rsid w:val="43952370"/>
    <w:rsid w:val="439F2E3A"/>
    <w:rsid w:val="43B755E6"/>
    <w:rsid w:val="43B9773D"/>
    <w:rsid w:val="43C2754D"/>
    <w:rsid w:val="43D04A77"/>
    <w:rsid w:val="43E756C4"/>
    <w:rsid w:val="43EA2D6E"/>
    <w:rsid w:val="43EF3867"/>
    <w:rsid w:val="43FD34F0"/>
    <w:rsid w:val="43FF66E2"/>
    <w:rsid w:val="44092212"/>
    <w:rsid w:val="44173F56"/>
    <w:rsid w:val="44266714"/>
    <w:rsid w:val="44350E20"/>
    <w:rsid w:val="444479B1"/>
    <w:rsid w:val="44506F2B"/>
    <w:rsid w:val="445175E8"/>
    <w:rsid w:val="44642F11"/>
    <w:rsid w:val="44674A12"/>
    <w:rsid w:val="446762DA"/>
    <w:rsid w:val="44684782"/>
    <w:rsid w:val="447834A9"/>
    <w:rsid w:val="447A2214"/>
    <w:rsid w:val="448446FE"/>
    <w:rsid w:val="448F5E95"/>
    <w:rsid w:val="44914ED1"/>
    <w:rsid w:val="44961F66"/>
    <w:rsid w:val="449A2B93"/>
    <w:rsid w:val="44A53404"/>
    <w:rsid w:val="44A9416B"/>
    <w:rsid w:val="44AC223E"/>
    <w:rsid w:val="44B721AC"/>
    <w:rsid w:val="44C474BC"/>
    <w:rsid w:val="44CC56EA"/>
    <w:rsid w:val="44D034E6"/>
    <w:rsid w:val="44D94820"/>
    <w:rsid w:val="44DA4055"/>
    <w:rsid w:val="44E2365D"/>
    <w:rsid w:val="44F52779"/>
    <w:rsid w:val="44FB6758"/>
    <w:rsid w:val="45141E9D"/>
    <w:rsid w:val="451D091F"/>
    <w:rsid w:val="451D401A"/>
    <w:rsid w:val="452F2608"/>
    <w:rsid w:val="45434E9A"/>
    <w:rsid w:val="45441EDC"/>
    <w:rsid w:val="454473BA"/>
    <w:rsid w:val="456B4032"/>
    <w:rsid w:val="457B0AFD"/>
    <w:rsid w:val="457C175B"/>
    <w:rsid w:val="45951491"/>
    <w:rsid w:val="45AF7F18"/>
    <w:rsid w:val="45B5790C"/>
    <w:rsid w:val="45B836E8"/>
    <w:rsid w:val="45BB7A15"/>
    <w:rsid w:val="45CA1314"/>
    <w:rsid w:val="45DB67D3"/>
    <w:rsid w:val="45F374BE"/>
    <w:rsid w:val="46250576"/>
    <w:rsid w:val="46267EDB"/>
    <w:rsid w:val="462F7315"/>
    <w:rsid w:val="464459D0"/>
    <w:rsid w:val="46452EAE"/>
    <w:rsid w:val="465271CC"/>
    <w:rsid w:val="46531622"/>
    <w:rsid w:val="46562739"/>
    <w:rsid w:val="46587853"/>
    <w:rsid w:val="4669098F"/>
    <w:rsid w:val="466F0F6E"/>
    <w:rsid w:val="4672098C"/>
    <w:rsid w:val="46807F7A"/>
    <w:rsid w:val="468F112A"/>
    <w:rsid w:val="46910D17"/>
    <w:rsid w:val="46AF5DD0"/>
    <w:rsid w:val="46B80FDC"/>
    <w:rsid w:val="46CA455E"/>
    <w:rsid w:val="46CF1C22"/>
    <w:rsid w:val="46D51D3F"/>
    <w:rsid w:val="46D92BF6"/>
    <w:rsid w:val="46DB2A31"/>
    <w:rsid w:val="46DE1F03"/>
    <w:rsid w:val="46EA65BE"/>
    <w:rsid w:val="46F06095"/>
    <w:rsid w:val="46FA023B"/>
    <w:rsid w:val="470A52FC"/>
    <w:rsid w:val="47201B8D"/>
    <w:rsid w:val="4723246F"/>
    <w:rsid w:val="472672F6"/>
    <w:rsid w:val="472E0B19"/>
    <w:rsid w:val="47324F8A"/>
    <w:rsid w:val="475E3F98"/>
    <w:rsid w:val="4762104B"/>
    <w:rsid w:val="4773682B"/>
    <w:rsid w:val="4774227E"/>
    <w:rsid w:val="478E5DA0"/>
    <w:rsid w:val="47902409"/>
    <w:rsid w:val="47997B4B"/>
    <w:rsid w:val="47A63C9B"/>
    <w:rsid w:val="47B77514"/>
    <w:rsid w:val="47B91329"/>
    <w:rsid w:val="47BF4033"/>
    <w:rsid w:val="47C239F1"/>
    <w:rsid w:val="47D74EBF"/>
    <w:rsid w:val="47E010AE"/>
    <w:rsid w:val="47E34E61"/>
    <w:rsid w:val="47EA64B8"/>
    <w:rsid w:val="47EF11C2"/>
    <w:rsid w:val="47F60690"/>
    <w:rsid w:val="47FA5621"/>
    <w:rsid w:val="482B3DE5"/>
    <w:rsid w:val="482E156C"/>
    <w:rsid w:val="48434036"/>
    <w:rsid w:val="484776A0"/>
    <w:rsid w:val="484E266E"/>
    <w:rsid w:val="485025C3"/>
    <w:rsid w:val="485212B4"/>
    <w:rsid w:val="48567AA6"/>
    <w:rsid w:val="48597467"/>
    <w:rsid w:val="48752DC7"/>
    <w:rsid w:val="4878494C"/>
    <w:rsid w:val="487D23AF"/>
    <w:rsid w:val="487E5F02"/>
    <w:rsid w:val="488B2925"/>
    <w:rsid w:val="489073D7"/>
    <w:rsid w:val="48945538"/>
    <w:rsid w:val="489E7C8E"/>
    <w:rsid w:val="48A70558"/>
    <w:rsid w:val="48B55015"/>
    <w:rsid w:val="48C13E0B"/>
    <w:rsid w:val="48CB630E"/>
    <w:rsid w:val="48DA20DE"/>
    <w:rsid w:val="48E36F80"/>
    <w:rsid w:val="48EF237B"/>
    <w:rsid w:val="48F00928"/>
    <w:rsid w:val="48F11282"/>
    <w:rsid w:val="48FC3C8F"/>
    <w:rsid w:val="49011A64"/>
    <w:rsid w:val="4913074F"/>
    <w:rsid w:val="49136376"/>
    <w:rsid w:val="494555EC"/>
    <w:rsid w:val="4955613F"/>
    <w:rsid w:val="49585C74"/>
    <w:rsid w:val="495B3ABD"/>
    <w:rsid w:val="49614734"/>
    <w:rsid w:val="4966343B"/>
    <w:rsid w:val="496C2B99"/>
    <w:rsid w:val="496E2505"/>
    <w:rsid w:val="49923FBE"/>
    <w:rsid w:val="49A12409"/>
    <w:rsid w:val="49B94542"/>
    <w:rsid w:val="49C10C38"/>
    <w:rsid w:val="49C90443"/>
    <w:rsid w:val="49D264A7"/>
    <w:rsid w:val="49DC370B"/>
    <w:rsid w:val="49E61F10"/>
    <w:rsid w:val="49FB2AF1"/>
    <w:rsid w:val="4A020795"/>
    <w:rsid w:val="4A075754"/>
    <w:rsid w:val="4A0F0D55"/>
    <w:rsid w:val="4A147539"/>
    <w:rsid w:val="4A1730D0"/>
    <w:rsid w:val="4A201A13"/>
    <w:rsid w:val="4A414731"/>
    <w:rsid w:val="4A5764A8"/>
    <w:rsid w:val="4A6F7C4A"/>
    <w:rsid w:val="4A73153A"/>
    <w:rsid w:val="4A771025"/>
    <w:rsid w:val="4A824564"/>
    <w:rsid w:val="4A957C5E"/>
    <w:rsid w:val="4AC4604F"/>
    <w:rsid w:val="4AD1302E"/>
    <w:rsid w:val="4AD70AF9"/>
    <w:rsid w:val="4ADA2678"/>
    <w:rsid w:val="4AF8480F"/>
    <w:rsid w:val="4AFB5D5E"/>
    <w:rsid w:val="4B110B23"/>
    <w:rsid w:val="4B1A48D0"/>
    <w:rsid w:val="4B1C5089"/>
    <w:rsid w:val="4B21776F"/>
    <w:rsid w:val="4B291F6C"/>
    <w:rsid w:val="4B3D7EBC"/>
    <w:rsid w:val="4B3E0B23"/>
    <w:rsid w:val="4B471200"/>
    <w:rsid w:val="4B5E0B87"/>
    <w:rsid w:val="4B6067C0"/>
    <w:rsid w:val="4B7E0D8D"/>
    <w:rsid w:val="4B816AF0"/>
    <w:rsid w:val="4B85334C"/>
    <w:rsid w:val="4BA24769"/>
    <w:rsid w:val="4BAF3613"/>
    <w:rsid w:val="4BB54D88"/>
    <w:rsid w:val="4BC22889"/>
    <w:rsid w:val="4BCF615D"/>
    <w:rsid w:val="4BD02C55"/>
    <w:rsid w:val="4BD82DF4"/>
    <w:rsid w:val="4BE9776A"/>
    <w:rsid w:val="4BEE00F7"/>
    <w:rsid w:val="4BEE1B38"/>
    <w:rsid w:val="4BF01536"/>
    <w:rsid w:val="4C122D27"/>
    <w:rsid w:val="4C162B10"/>
    <w:rsid w:val="4C2F1BB6"/>
    <w:rsid w:val="4C390B61"/>
    <w:rsid w:val="4C4D56C6"/>
    <w:rsid w:val="4C51422D"/>
    <w:rsid w:val="4C5A0759"/>
    <w:rsid w:val="4C675B0D"/>
    <w:rsid w:val="4C6E4987"/>
    <w:rsid w:val="4C744817"/>
    <w:rsid w:val="4C8C5F8B"/>
    <w:rsid w:val="4C913CBA"/>
    <w:rsid w:val="4C916DB5"/>
    <w:rsid w:val="4C960B95"/>
    <w:rsid w:val="4C9F3EA7"/>
    <w:rsid w:val="4CA0102B"/>
    <w:rsid w:val="4CD06289"/>
    <w:rsid w:val="4CE456B2"/>
    <w:rsid w:val="4CE93C03"/>
    <w:rsid w:val="4CFE6852"/>
    <w:rsid w:val="4D006B00"/>
    <w:rsid w:val="4D025EE2"/>
    <w:rsid w:val="4D0923F6"/>
    <w:rsid w:val="4D0D6891"/>
    <w:rsid w:val="4D1C33ED"/>
    <w:rsid w:val="4D207770"/>
    <w:rsid w:val="4D2C78DA"/>
    <w:rsid w:val="4D5A6FE0"/>
    <w:rsid w:val="4D607950"/>
    <w:rsid w:val="4D6C5B10"/>
    <w:rsid w:val="4D7C5E0E"/>
    <w:rsid w:val="4D960591"/>
    <w:rsid w:val="4DA169F2"/>
    <w:rsid w:val="4DAC0217"/>
    <w:rsid w:val="4DB422E3"/>
    <w:rsid w:val="4DB62A8C"/>
    <w:rsid w:val="4DBF737A"/>
    <w:rsid w:val="4DC15F14"/>
    <w:rsid w:val="4DC83D45"/>
    <w:rsid w:val="4DE04D4B"/>
    <w:rsid w:val="4DE24CF3"/>
    <w:rsid w:val="4DE73E5F"/>
    <w:rsid w:val="4DF11DBB"/>
    <w:rsid w:val="4E155F92"/>
    <w:rsid w:val="4E185DF1"/>
    <w:rsid w:val="4E1F70CB"/>
    <w:rsid w:val="4E273923"/>
    <w:rsid w:val="4E3067D3"/>
    <w:rsid w:val="4E4A3612"/>
    <w:rsid w:val="4E4D00D6"/>
    <w:rsid w:val="4E504DF2"/>
    <w:rsid w:val="4E5D3E6F"/>
    <w:rsid w:val="4E6424BC"/>
    <w:rsid w:val="4E661998"/>
    <w:rsid w:val="4E683358"/>
    <w:rsid w:val="4E6B2E4F"/>
    <w:rsid w:val="4E811D71"/>
    <w:rsid w:val="4E8276C3"/>
    <w:rsid w:val="4E8473D4"/>
    <w:rsid w:val="4E8717B9"/>
    <w:rsid w:val="4E9533FF"/>
    <w:rsid w:val="4E960EDB"/>
    <w:rsid w:val="4E98597B"/>
    <w:rsid w:val="4E9B432D"/>
    <w:rsid w:val="4EA14868"/>
    <w:rsid w:val="4EBC6BCC"/>
    <w:rsid w:val="4EC01B77"/>
    <w:rsid w:val="4EE353D7"/>
    <w:rsid w:val="4EF73300"/>
    <w:rsid w:val="4EF910CD"/>
    <w:rsid w:val="4EFB5B2F"/>
    <w:rsid w:val="4EFB5BBF"/>
    <w:rsid w:val="4F007FAB"/>
    <w:rsid w:val="4F0F155E"/>
    <w:rsid w:val="4F101913"/>
    <w:rsid w:val="4F106B7A"/>
    <w:rsid w:val="4F144655"/>
    <w:rsid w:val="4F1A2A99"/>
    <w:rsid w:val="4F2933A5"/>
    <w:rsid w:val="4F2C20B3"/>
    <w:rsid w:val="4F2D08AA"/>
    <w:rsid w:val="4F2E6EF7"/>
    <w:rsid w:val="4F5B627F"/>
    <w:rsid w:val="4F6D4B42"/>
    <w:rsid w:val="4F6F0EE8"/>
    <w:rsid w:val="4F7E615D"/>
    <w:rsid w:val="4F7F0FA1"/>
    <w:rsid w:val="4F7F40FE"/>
    <w:rsid w:val="4F8C6F2A"/>
    <w:rsid w:val="4F8F7B21"/>
    <w:rsid w:val="4F99479F"/>
    <w:rsid w:val="4FA26012"/>
    <w:rsid w:val="4FA37883"/>
    <w:rsid w:val="4FBF65CE"/>
    <w:rsid w:val="4FC07FE3"/>
    <w:rsid w:val="4FC761E9"/>
    <w:rsid w:val="4FD278A4"/>
    <w:rsid w:val="4FFA3D99"/>
    <w:rsid w:val="50034EBF"/>
    <w:rsid w:val="500D4D1E"/>
    <w:rsid w:val="501405A8"/>
    <w:rsid w:val="50154925"/>
    <w:rsid w:val="50233F5A"/>
    <w:rsid w:val="5028524C"/>
    <w:rsid w:val="50353582"/>
    <w:rsid w:val="503D6772"/>
    <w:rsid w:val="503F4A9F"/>
    <w:rsid w:val="504C3C83"/>
    <w:rsid w:val="505006DF"/>
    <w:rsid w:val="50501A45"/>
    <w:rsid w:val="5069775C"/>
    <w:rsid w:val="506C3081"/>
    <w:rsid w:val="506D6A7A"/>
    <w:rsid w:val="507B581F"/>
    <w:rsid w:val="507C1868"/>
    <w:rsid w:val="50866038"/>
    <w:rsid w:val="508A0A0E"/>
    <w:rsid w:val="509C2DD0"/>
    <w:rsid w:val="509D1532"/>
    <w:rsid w:val="509F7B23"/>
    <w:rsid w:val="50A548A1"/>
    <w:rsid w:val="50A61DF5"/>
    <w:rsid w:val="50B0590F"/>
    <w:rsid w:val="50B50B78"/>
    <w:rsid w:val="50B7065D"/>
    <w:rsid w:val="50BF7C57"/>
    <w:rsid w:val="50D35F77"/>
    <w:rsid w:val="50D86D39"/>
    <w:rsid w:val="50DB02B3"/>
    <w:rsid w:val="50E527C1"/>
    <w:rsid w:val="51071DD8"/>
    <w:rsid w:val="510A629A"/>
    <w:rsid w:val="51101AC9"/>
    <w:rsid w:val="51154098"/>
    <w:rsid w:val="511A2AFC"/>
    <w:rsid w:val="5123119F"/>
    <w:rsid w:val="5123676F"/>
    <w:rsid w:val="512B6449"/>
    <w:rsid w:val="513252D7"/>
    <w:rsid w:val="51380FD8"/>
    <w:rsid w:val="51394263"/>
    <w:rsid w:val="51397AE5"/>
    <w:rsid w:val="513A13CC"/>
    <w:rsid w:val="513A23D1"/>
    <w:rsid w:val="514C5269"/>
    <w:rsid w:val="5155099C"/>
    <w:rsid w:val="515C654D"/>
    <w:rsid w:val="51600E02"/>
    <w:rsid w:val="51647D98"/>
    <w:rsid w:val="516D5E81"/>
    <w:rsid w:val="51863EDE"/>
    <w:rsid w:val="518B48D4"/>
    <w:rsid w:val="519A5F67"/>
    <w:rsid w:val="51AD660B"/>
    <w:rsid w:val="51B02D65"/>
    <w:rsid w:val="51C71679"/>
    <w:rsid w:val="51CA47B2"/>
    <w:rsid w:val="51EF08D3"/>
    <w:rsid w:val="51F729D9"/>
    <w:rsid w:val="522B4F52"/>
    <w:rsid w:val="522F3F71"/>
    <w:rsid w:val="52363B4B"/>
    <w:rsid w:val="52366F3F"/>
    <w:rsid w:val="523E616D"/>
    <w:rsid w:val="52402C77"/>
    <w:rsid w:val="52404BE0"/>
    <w:rsid w:val="52442651"/>
    <w:rsid w:val="524A104D"/>
    <w:rsid w:val="524A614E"/>
    <w:rsid w:val="525F433E"/>
    <w:rsid w:val="526C08EF"/>
    <w:rsid w:val="527E3917"/>
    <w:rsid w:val="527F1808"/>
    <w:rsid w:val="528606B8"/>
    <w:rsid w:val="528878B3"/>
    <w:rsid w:val="52933A02"/>
    <w:rsid w:val="529B7DE7"/>
    <w:rsid w:val="52B17FAF"/>
    <w:rsid w:val="52B23FD6"/>
    <w:rsid w:val="52B35DDF"/>
    <w:rsid w:val="52BE21D5"/>
    <w:rsid w:val="52C03752"/>
    <w:rsid w:val="52C7051A"/>
    <w:rsid w:val="52CA6D3A"/>
    <w:rsid w:val="52D01A43"/>
    <w:rsid w:val="52D74923"/>
    <w:rsid w:val="52DB3E1C"/>
    <w:rsid w:val="52DD2C8B"/>
    <w:rsid w:val="52E932E5"/>
    <w:rsid w:val="52ED0230"/>
    <w:rsid w:val="52F249FD"/>
    <w:rsid w:val="531B7189"/>
    <w:rsid w:val="531D550D"/>
    <w:rsid w:val="53266571"/>
    <w:rsid w:val="532925D7"/>
    <w:rsid w:val="532A121E"/>
    <w:rsid w:val="533773D4"/>
    <w:rsid w:val="534431C8"/>
    <w:rsid w:val="534D0A86"/>
    <w:rsid w:val="535200FD"/>
    <w:rsid w:val="53597E3F"/>
    <w:rsid w:val="53691EC4"/>
    <w:rsid w:val="536F73E2"/>
    <w:rsid w:val="53817275"/>
    <w:rsid w:val="538758B7"/>
    <w:rsid w:val="538B3956"/>
    <w:rsid w:val="5399722D"/>
    <w:rsid w:val="53A340AF"/>
    <w:rsid w:val="53AA24B0"/>
    <w:rsid w:val="53B62D31"/>
    <w:rsid w:val="53D666CF"/>
    <w:rsid w:val="53D75B2F"/>
    <w:rsid w:val="53EE0D74"/>
    <w:rsid w:val="53F162B5"/>
    <w:rsid w:val="540E1489"/>
    <w:rsid w:val="54186F6B"/>
    <w:rsid w:val="54315712"/>
    <w:rsid w:val="54387BE4"/>
    <w:rsid w:val="543D383C"/>
    <w:rsid w:val="5444132C"/>
    <w:rsid w:val="544906D5"/>
    <w:rsid w:val="54496306"/>
    <w:rsid w:val="544A5E48"/>
    <w:rsid w:val="54515166"/>
    <w:rsid w:val="546477CC"/>
    <w:rsid w:val="54783274"/>
    <w:rsid w:val="5488570D"/>
    <w:rsid w:val="548E2A36"/>
    <w:rsid w:val="548F670D"/>
    <w:rsid w:val="549802EE"/>
    <w:rsid w:val="549837F2"/>
    <w:rsid w:val="54984B9E"/>
    <w:rsid w:val="549967E3"/>
    <w:rsid w:val="54AB11DC"/>
    <w:rsid w:val="54AB5215"/>
    <w:rsid w:val="54B30C59"/>
    <w:rsid w:val="54B90F4B"/>
    <w:rsid w:val="54C5774C"/>
    <w:rsid w:val="54C7704A"/>
    <w:rsid w:val="54D311DA"/>
    <w:rsid w:val="54D3504D"/>
    <w:rsid w:val="54DA202E"/>
    <w:rsid w:val="54DF398A"/>
    <w:rsid w:val="54FD3476"/>
    <w:rsid w:val="54FE7C59"/>
    <w:rsid w:val="550E3C3A"/>
    <w:rsid w:val="5519481B"/>
    <w:rsid w:val="551C340F"/>
    <w:rsid w:val="552B1627"/>
    <w:rsid w:val="55422A5A"/>
    <w:rsid w:val="554576B0"/>
    <w:rsid w:val="55494AE2"/>
    <w:rsid w:val="556475F8"/>
    <w:rsid w:val="55827C90"/>
    <w:rsid w:val="55996BA2"/>
    <w:rsid w:val="55A30FF6"/>
    <w:rsid w:val="55A91E5B"/>
    <w:rsid w:val="55AD6E71"/>
    <w:rsid w:val="55B54F66"/>
    <w:rsid w:val="55BD3394"/>
    <w:rsid w:val="55D50E83"/>
    <w:rsid w:val="55DC077A"/>
    <w:rsid w:val="55E32653"/>
    <w:rsid w:val="55E350C2"/>
    <w:rsid w:val="55FE143E"/>
    <w:rsid w:val="560564AB"/>
    <w:rsid w:val="5606277C"/>
    <w:rsid w:val="5617475D"/>
    <w:rsid w:val="561F5DB4"/>
    <w:rsid w:val="56312BE9"/>
    <w:rsid w:val="56327F0E"/>
    <w:rsid w:val="564277C8"/>
    <w:rsid w:val="564869AE"/>
    <w:rsid w:val="56506B2A"/>
    <w:rsid w:val="56574277"/>
    <w:rsid w:val="565826AB"/>
    <w:rsid w:val="5670797A"/>
    <w:rsid w:val="56720AD5"/>
    <w:rsid w:val="56985AC8"/>
    <w:rsid w:val="56A61BD0"/>
    <w:rsid w:val="56BB704E"/>
    <w:rsid w:val="56BD4C06"/>
    <w:rsid w:val="56D14C11"/>
    <w:rsid w:val="56D3671B"/>
    <w:rsid w:val="56DF1E41"/>
    <w:rsid w:val="56F807FF"/>
    <w:rsid w:val="5707447C"/>
    <w:rsid w:val="57126791"/>
    <w:rsid w:val="573A703B"/>
    <w:rsid w:val="573E7D64"/>
    <w:rsid w:val="573F0A52"/>
    <w:rsid w:val="575174D2"/>
    <w:rsid w:val="575B3640"/>
    <w:rsid w:val="576111E5"/>
    <w:rsid w:val="57967CD3"/>
    <w:rsid w:val="57982B2B"/>
    <w:rsid w:val="579A099F"/>
    <w:rsid w:val="57AD2344"/>
    <w:rsid w:val="57AE3FC0"/>
    <w:rsid w:val="57BA16E1"/>
    <w:rsid w:val="57BA21B7"/>
    <w:rsid w:val="57BF22E2"/>
    <w:rsid w:val="57C10550"/>
    <w:rsid w:val="57C31672"/>
    <w:rsid w:val="57C5537E"/>
    <w:rsid w:val="57C71DED"/>
    <w:rsid w:val="57CC6BF9"/>
    <w:rsid w:val="57D064B9"/>
    <w:rsid w:val="57D839A1"/>
    <w:rsid w:val="57DA642B"/>
    <w:rsid w:val="57EB11DC"/>
    <w:rsid w:val="57F97569"/>
    <w:rsid w:val="57FA0A25"/>
    <w:rsid w:val="57FE738F"/>
    <w:rsid w:val="580C5F47"/>
    <w:rsid w:val="581004D8"/>
    <w:rsid w:val="581205D5"/>
    <w:rsid w:val="581B374B"/>
    <w:rsid w:val="58313767"/>
    <w:rsid w:val="583423D9"/>
    <w:rsid w:val="58367B13"/>
    <w:rsid w:val="58401FE2"/>
    <w:rsid w:val="58454189"/>
    <w:rsid w:val="584D6AEF"/>
    <w:rsid w:val="58502179"/>
    <w:rsid w:val="585242D5"/>
    <w:rsid w:val="585A5CD7"/>
    <w:rsid w:val="5862064D"/>
    <w:rsid w:val="58635865"/>
    <w:rsid w:val="58660413"/>
    <w:rsid w:val="586F3045"/>
    <w:rsid w:val="587F7E95"/>
    <w:rsid w:val="5880752F"/>
    <w:rsid w:val="58862C4D"/>
    <w:rsid w:val="58933B54"/>
    <w:rsid w:val="589B7C1D"/>
    <w:rsid w:val="58AC124D"/>
    <w:rsid w:val="58B32308"/>
    <w:rsid w:val="58B634ED"/>
    <w:rsid w:val="58BD184C"/>
    <w:rsid w:val="58C86DA8"/>
    <w:rsid w:val="58DD4C9F"/>
    <w:rsid w:val="58F1603E"/>
    <w:rsid w:val="58F45F89"/>
    <w:rsid w:val="58FC5C9C"/>
    <w:rsid w:val="59033671"/>
    <w:rsid w:val="5905191C"/>
    <w:rsid w:val="59087B11"/>
    <w:rsid w:val="591113AE"/>
    <w:rsid w:val="59132201"/>
    <w:rsid w:val="59157E70"/>
    <w:rsid w:val="591A55CB"/>
    <w:rsid w:val="59234C08"/>
    <w:rsid w:val="59271977"/>
    <w:rsid w:val="592A701B"/>
    <w:rsid w:val="592C51FB"/>
    <w:rsid w:val="59371165"/>
    <w:rsid w:val="593F6FA7"/>
    <w:rsid w:val="59405407"/>
    <w:rsid w:val="594A2997"/>
    <w:rsid w:val="594D29EA"/>
    <w:rsid w:val="594F7028"/>
    <w:rsid w:val="5951560C"/>
    <w:rsid w:val="595C09FE"/>
    <w:rsid w:val="595D24FD"/>
    <w:rsid w:val="596102C6"/>
    <w:rsid w:val="596A2030"/>
    <w:rsid w:val="596A6A03"/>
    <w:rsid w:val="5973006A"/>
    <w:rsid w:val="597578FD"/>
    <w:rsid w:val="598B052C"/>
    <w:rsid w:val="59C504B8"/>
    <w:rsid w:val="59CF2108"/>
    <w:rsid w:val="59DA598B"/>
    <w:rsid w:val="59E35EAB"/>
    <w:rsid w:val="59EB2C83"/>
    <w:rsid w:val="59F23EA6"/>
    <w:rsid w:val="59FC3587"/>
    <w:rsid w:val="5A041568"/>
    <w:rsid w:val="5A075BFE"/>
    <w:rsid w:val="5A177F43"/>
    <w:rsid w:val="5A2F59F5"/>
    <w:rsid w:val="5A342210"/>
    <w:rsid w:val="5A391C74"/>
    <w:rsid w:val="5A3E4E9A"/>
    <w:rsid w:val="5A437E9E"/>
    <w:rsid w:val="5A447119"/>
    <w:rsid w:val="5A5B4BAC"/>
    <w:rsid w:val="5A670ED1"/>
    <w:rsid w:val="5A696DA2"/>
    <w:rsid w:val="5A6D1CBF"/>
    <w:rsid w:val="5A6D58AF"/>
    <w:rsid w:val="5A6E1AAC"/>
    <w:rsid w:val="5A7A18A4"/>
    <w:rsid w:val="5A82285B"/>
    <w:rsid w:val="5A8F3683"/>
    <w:rsid w:val="5A981875"/>
    <w:rsid w:val="5AA906AB"/>
    <w:rsid w:val="5AB03BCB"/>
    <w:rsid w:val="5AC04291"/>
    <w:rsid w:val="5AC159B3"/>
    <w:rsid w:val="5AD45641"/>
    <w:rsid w:val="5AD557A4"/>
    <w:rsid w:val="5AEA1A26"/>
    <w:rsid w:val="5AF41637"/>
    <w:rsid w:val="5AFA38D3"/>
    <w:rsid w:val="5B0E39F9"/>
    <w:rsid w:val="5B1152FE"/>
    <w:rsid w:val="5B2364C0"/>
    <w:rsid w:val="5B3C018F"/>
    <w:rsid w:val="5B3F4B7D"/>
    <w:rsid w:val="5B442B8E"/>
    <w:rsid w:val="5B580AA9"/>
    <w:rsid w:val="5B5E33C9"/>
    <w:rsid w:val="5B7C7930"/>
    <w:rsid w:val="5B8721A2"/>
    <w:rsid w:val="5B897706"/>
    <w:rsid w:val="5B930ACF"/>
    <w:rsid w:val="5BA027D5"/>
    <w:rsid w:val="5BA34E37"/>
    <w:rsid w:val="5BA41EFC"/>
    <w:rsid w:val="5BAB68EB"/>
    <w:rsid w:val="5BC128D5"/>
    <w:rsid w:val="5BD34E5E"/>
    <w:rsid w:val="5BD90E6E"/>
    <w:rsid w:val="5BDF0520"/>
    <w:rsid w:val="5BE93378"/>
    <w:rsid w:val="5BEB0862"/>
    <w:rsid w:val="5BEB7520"/>
    <w:rsid w:val="5BF33169"/>
    <w:rsid w:val="5C0223E8"/>
    <w:rsid w:val="5C030EA9"/>
    <w:rsid w:val="5C0F668D"/>
    <w:rsid w:val="5C170003"/>
    <w:rsid w:val="5C183ECE"/>
    <w:rsid w:val="5C1A3B54"/>
    <w:rsid w:val="5C1A5EA7"/>
    <w:rsid w:val="5C1F3C14"/>
    <w:rsid w:val="5C2C265F"/>
    <w:rsid w:val="5C3360DC"/>
    <w:rsid w:val="5C357E6A"/>
    <w:rsid w:val="5C523254"/>
    <w:rsid w:val="5C676DD6"/>
    <w:rsid w:val="5C76215B"/>
    <w:rsid w:val="5C820E20"/>
    <w:rsid w:val="5C843340"/>
    <w:rsid w:val="5C9C33C6"/>
    <w:rsid w:val="5CA2463E"/>
    <w:rsid w:val="5CA42BFD"/>
    <w:rsid w:val="5CA8187E"/>
    <w:rsid w:val="5CA971F5"/>
    <w:rsid w:val="5CB01E08"/>
    <w:rsid w:val="5CB81E62"/>
    <w:rsid w:val="5CC6673D"/>
    <w:rsid w:val="5CD34287"/>
    <w:rsid w:val="5CD95179"/>
    <w:rsid w:val="5CF300DF"/>
    <w:rsid w:val="5CF46C23"/>
    <w:rsid w:val="5CF70520"/>
    <w:rsid w:val="5CFC6FE8"/>
    <w:rsid w:val="5CFD0CC8"/>
    <w:rsid w:val="5D220574"/>
    <w:rsid w:val="5D352E6D"/>
    <w:rsid w:val="5D3C57AF"/>
    <w:rsid w:val="5D4B2C44"/>
    <w:rsid w:val="5D521DEE"/>
    <w:rsid w:val="5D54486B"/>
    <w:rsid w:val="5D5E0DED"/>
    <w:rsid w:val="5D6377A9"/>
    <w:rsid w:val="5D675903"/>
    <w:rsid w:val="5D6C32A2"/>
    <w:rsid w:val="5D723DC8"/>
    <w:rsid w:val="5D812FCB"/>
    <w:rsid w:val="5D8153DB"/>
    <w:rsid w:val="5D9303C3"/>
    <w:rsid w:val="5D973B04"/>
    <w:rsid w:val="5D9F6819"/>
    <w:rsid w:val="5DBA7BAC"/>
    <w:rsid w:val="5DC961E3"/>
    <w:rsid w:val="5DCA3C20"/>
    <w:rsid w:val="5DD04AA9"/>
    <w:rsid w:val="5DD64142"/>
    <w:rsid w:val="5DDA0AAB"/>
    <w:rsid w:val="5DE2003B"/>
    <w:rsid w:val="5DE208AE"/>
    <w:rsid w:val="5DE94589"/>
    <w:rsid w:val="5DEE34DE"/>
    <w:rsid w:val="5DF128EA"/>
    <w:rsid w:val="5DF2097E"/>
    <w:rsid w:val="5DFD3FF0"/>
    <w:rsid w:val="5DFF40DC"/>
    <w:rsid w:val="5E0D4B10"/>
    <w:rsid w:val="5E1E3695"/>
    <w:rsid w:val="5E28161D"/>
    <w:rsid w:val="5E34077D"/>
    <w:rsid w:val="5E367CC3"/>
    <w:rsid w:val="5E3C5A70"/>
    <w:rsid w:val="5E3D0B85"/>
    <w:rsid w:val="5E413317"/>
    <w:rsid w:val="5E515BF5"/>
    <w:rsid w:val="5E5E2338"/>
    <w:rsid w:val="5E5F718D"/>
    <w:rsid w:val="5E7A04B5"/>
    <w:rsid w:val="5E7D2319"/>
    <w:rsid w:val="5E930DE7"/>
    <w:rsid w:val="5E970340"/>
    <w:rsid w:val="5E9A467C"/>
    <w:rsid w:val="5EB23D82"/>
    <w:rsid w:val="5EB342E1"/>
    <w:rsid w:val="5EBF68F8"/>
    <w:rsid w:val="5EC17B0D"/>
    <w:rsid w:val="5EC611C0"/>
    <w:rsid w:val="5ED34337"/>
    <w:rsid w:val="5ED42061"/>
    <w:rsid w:val="5EE529D2"/>
    <w:rsid w:val="5EE96E9B"/>
    <w:rsid w:val="5EF34CF2"/>
    <w:rsid w:val="5EF34FB4"/>
    <w:rsid w:val="5EFD2AC0"/>
    <w:rsid w:val="5F1A3A3E"/>
    <w:rsid w:val="5F1A7472"/>
    <w:rsid w:val="5F210AC6"/>
    <w:rsid w:val="5F2127CC"/>
    <w:rsid w:val="5F3121EB"/>
    <w:rsid w:val="5F483909"/>
    <w:rsid w:val="5F544789"/>
    <w:rsid w:val="5F6F3DE7"/>
    <w:rsid w:val="5F7040CA"/>
    <w:rsid w:val="5F8255CA"/>
    <w:rsid w:val="5F8C2FC6"/>
    <w:rsid w:val="5F97538D"/>
    <w:rsid w:val="5FB65BBC"/>
    <w:rsid w:val="5FE67AF2"/>
    <w:rsid w:val="5FEA2847"/>
    <w:rsid w:val="5FEC023F"/>
    <w:rsid w:val="5FFB22BA"/>
    <w:rsid w:val="60177748"/>
    <w:rsid w:val="602D4B26"/>
    <w:rsid w:val="603E3568"/>
    <w:rsid w:val="604A3B32"/>
    <w:rsid w:val="60707D3F"/>
    <w:rsid w:val="607A2E72"/>
    <w:rsid w:val="607D307D"/>
    <w:rsid w:val="608442F6"/>
    <w:rsid w:val="60891BA4"/>
    <w:rsid w:val="609405E0"/>
    <w:rsid w:val="6098030E"/>
    <w:rsid w:val="609D7ADB"/>
    <w:rsid w:val="60B1436A"/>
    <w:rsid w:val="60C02DDC"/>
    <w:rsid w:val="60C9529F"/>
    <w:rsid w:val="60CE1A3B"/>
    <w:rsid w:val="60D203C7"/>
    <w:rsid w:val="60E41D50"/>
    <w:rsid w:val="60EE19EA"/>
    <w:rsid w:val="60F657B3"/>
    <w:rsid w:val="60FB097B"/>
    <w:rsid w:val="610B72AE"/>
    <w:rsid w:val="611951E1"/>
    <w:rsid w:val="611A3B1F"/>
    <w:rsid w:val="611A43FB"/>
    <w:rsid w:val="611B7866"/>
    <w:rsid w:val="612A2025"/>
    <w:rsid w:val="61386B8A"/>
    <w:rsid w:val="613F5A23"/>
    <w:rsid w:val="61553E49"/>
    <w:rsid w:val="61716FDB"/>
    <w:rsid w:val="617D1B97"/>
    <w:rsid w:val="617D4080"/>
    <w:rsid w:val="61855E0E"/>
    <w:rsid w:val="619C7EEE"/>
    <w:rsid w:val="61A0748B"/>
    <w:rsid w:val="61A849EA"/>
    <w:rsid w:val="61B2131E"/>
    <w:rsid w:val="61B737A5"/>
    <w:rsid w:val="61B91318"/>
    <w:rsid w:val="61C074F0"/>
    <w:rsid w:val="61CB1B32"/>
    <w:rsid w:val="61D84107"/>
    <w:rsid w:val="61EA6060"/>
    <w:rsid w:val="61F0406C"/>
    <w:rsid w:val="62017684"/>
    <w:rsid w:val="620963EC"/>
    <w:rsid w:val="620E40A3"/>
    <w:rsid w:val="62154F07"/>
    <w:rsid w:val="62155C1E"/>
    <w:rsid w:val="6220561C"/>
    <w:rsid w:val="622B4352"/>
    <w:rsid w:val="622B4652"/>
    <w:rsid w:val="622F0F5F"/>
    <w:rsid w:val="62395356"/>
    <w:rsid w:val="623A62CA"/>
    <w:rsid w:val="62477981"/>
    <w:rsid w:val="626A7736"/>
    <w:rsid w:val="62952EDA"/>
    <w:rsid w:val="62A83510"/>
    <w:rsid w:val="62B34265"/>
    <w:rsid w:val="62BC3F7B"/>
    <w:rsid w:val="62BD0CFC"/>
    <w:rsid w:val="62C653F7"/>
    <w:rsid w:val="62CB5201"/>
    <w:rsid w:val="62DA63A2"/>
    <w:rsid w:val="62ED4680"/>
    <w:rsid w:val="62F50BA4"/>
    <w:rsid w:val="62F76527"/>
    <w:rsid w:val="63002B02"/>
    <w:rsid w:val="630B629E"/>
    <w:rsid w:val="6313273B"/>
    <w:rsid w:val="632154D0"/>
    <w:rsid w:val="6328514F"/>
    <w:rsid w:val="633D5206"/>
    <w:rsid w:val="634052AD"/>
    <w:rsid w:val="634D4782"/>
    <w:rsid w:val="63565FD3"/>
    <w:rsid w:val="63607D53"/>
    <w:rsid w:val="636B02BB"/>
    <w:rsid w:val="63755CC8"/>
    <w:rsid w:val="637834D8"/>
    <w:rsid w:val="637A57F9"/>
    <w:rsid w:val="638F7053"/>
    <w:rsid w:val="63A90FE1"/>
    <w:rsid w:val="63C556B6"/>
    <w:rsid w:val="63C740F2"/>
    <w:rsid w:val="63D61BF6"/>
    <w:rsid w:val="63DD24B9"/>
    <w:rsid w:val="63E75651"/>
    <w:rsid w:val="63F439D8"/>
    <w:rsid w:val="64093158"/>
    <w:rsid w:val="64111D5F"/>
    <w:rsid w:val="64303D86"/>
    <w:rsid w:val="64546761"/>
    <w:rsid w:val="645B768E"/>
    <w:rsid w:val="645B7D2C"/>
    <w:rsid w:val="645C3D0D"/>
    <w:rsid w:val="646A4E43"/>
    <w:rsid w:val="647660D8"/>
    <w:rsid w:val="64955557"/>
    <w:rsid w:val="64A1639F"/>
    <w:rsid w:val="64A27B6F"/>
    <w:rsid w:val="64A426C0"/>
    <w:rsid w:val="64AF1661"/>
    <w:rsid w:val="64B36612"/>
    <w:rsid w:val="64CF3E87"/>
    <w:rsid w:val="64E5490E"/>
    <w:rsid w:val="64ED2A43"/>
    <w:rsid w:val="650147BD"/>
    <w:rsid w:val="65055656"/>
    <w:rsid w:val="65082C63"/>
    <w:rsid w:val="651F439E"/>
    <w:rsid w:val="6526082C"/>
    <w:rsid w:val="65426027"/>
    <w:rsid w:val="6555786C"/>
    <w:rsid w:val="655E6253"/>
    <w:rsid w:val="656B1F8C"/>
    <w:rsid w:val="65716537"/>
    <w:rsid w:val="65732C29"/>
    <w:rsid w:val="657B77D2"/>
    <w:rsid w:val="657D7204"/>
    <w:rsid w:val="65824605"/>
    <w:rsid w:val="65857DC5"/>
    <w:rsid w:val="65997668"/>
    <w:rsid w:val="65A71891"/>
    <w:rsid w:val="65B808BE"/>
    <w:rsid w:val="65BC71F6"/>
    <w:rsid w:val="65BD71AE"/>
    <w:rsid w:val="65C929E7"/>
    <w:rsid w:val="65CC757B"/>
    <w:rsid w:val="65CE272C"/>
    <w:rsid w:val="65E72D78"/>
    <w:rsid w:val="65ED021D"/>
    <w:rsid w:val="65F05B32"/>
    <w:rsid w:val="65F63CC8"/>
    <w:rsid w:val="65F8181D"/>
    <w:rsid w:val="65FE58C9"/>
    <w:rsid w:val="660126AF"/>
    <w:rsid w:val="660B10DA"/>
    <w:rsid w:val="661120AC"/>
    <w:rsid w:val="66136D46"/>
    <w:rsid w:val="6615335A"/>
    <w:rsid w:val="661E75A6"/>
    <w:rsid w:val="6629370A"/>
    <w:rsid w:val="66337137"/>
    <w:rsid w:val="663A1ED0"/>
    <w:rsid w:val="6651569C"/>
    <w:rsid w:val="665705E0"/>
    <w:rsid w:val="665C6CA9"/>
    <w:rsid w:val="66625836"/>
    <w:rsid w:val="66657656"/>
    <w:rsid w:val="66725B1C"/>
    <w:rsid w:val="667322B0"/>
    <w:rsid w:val="6677437D"/>
    <w:rsid w:val="669175F0"/>
    <w:rsid w:val="66B13B8B"/>
    <w:rsid w:val="66B97C3F"/>
    <w:rsid w:val="66BB3011"/>
    <w:rsid w:val="66BB384B"/>
    <w:rsid w:val="66BC277C"/>
    <w:rsid w:val="66BE0F79"/>
    <w:rsid w:val="66C03EBD"/>
    <w:rsid w:val="66D167D8"/>
    <w:rsid w:val="66DA4B68"/>
    <w:rsid w:val="66DC55F9"/>
    <w:rsid w:val="66F32AFD"/>
    <w:rsid w:val="66F65898"/>
    <w:rsid w:val="66FC3278"/>
    <w:rsid w:val="670656F3"/>
    <w:rsid w:val="670A5FBE"/>
    <w:rsid w:val="67263BF9"/>
    <w:rsid w:val="672873E6"/>
    <w:rsid w:val="67486EEB"/>
    <w:rsid w:val="674D7BE9"/>
    <w:rsid w:val="67536CE2"/>
    <w:rsid w:val="676C00DE"/>
    <w:rsid w:val="676E6DC6"/>
    <w:rsid w:val="677E2AC6"/>
    <w:rsid w:val="678A2B0F"/>
    <w:rsid w:val="6792554B"/>
    <w:rsid w:val="679700AC"/>
    <w:rsid w:val="67AA258A"/>
    <w:rsid w:val="67AF7EC3"/>
    <w:rsid w:val="67B001F7"/>
    <w:rsid w:val="67B35ACD"/>
    <w:rsid w:val="67B7613E"/>
    <w:rsid w:val="67BD4CEC"/>
    <w:rsid w:val="67D01C35"/>
    <w:rsid w:val="67E00E12"/>
    <w:rsid w:val="6801483F"/>
    <w:rsid w:val="681757C7"/>
    <w:rsid w:val="682D3CAC"/>
    <w:rsid w:val="68365B63"/>
    <w:rsid w:val="683C3CE9"/>
    <w:rsid w:val="683F3F23"/>
    <w:rsid w:val="68412C05"/>
    <w:rsid w:val="684A0C9B"/>
    <w:rsid w:val="686B43CA"/>
    <w:rsid w:val="68781337"/>
    <w:rsid w:val="68891E99"/>
    <w:rsid w:val="689F7EB2"/>
    <w:rsid w:val="68AF77CD"/>
    <w:rsid w:val="68C3472A"/>
    <w:rsid w:val="68CB0103"/>
    <w:rsid w:val="68E55C60"/>
    <w:rsid w:val="68F127F3"/>
    <w:rsid w:val="690C60B5"/>
    <w:rsid w:val="69160EFD"/>
    <w:rsid w:val="6922509B"/>
    <w:rsid w:val="692C1069"/>
    <w:rsid w:val="69323C2E"/>
    <w:rsid w:val="69384B65"/>
    <w:rsid w:val="693A3CDA"/>
    <w:rsid w:val="693E5340"/>
    <w:rsid w:val="69590BC0"/>
    <w:rsid w:val="695B2DF5"/>
    <w:rsid w:val="69630A03"/>
    <w:rsid w:val="69657926"/>
    <w:rsid w:val="69741174"/>
    <w:rsid w:val="69793999"/>
    <w:rsid w:val="697F33DE"/>
    <w:rsid w:val="69860D43"/>
    <w:rsid w:val="69884A40"/>
    <w:rsid w:val="698E7D76"/>
    <w:rsid w:val="69AA5852"/>
    <w:rsid w:val="69B32B67"/>
    <w:rsid w:val="69B635CE"/>
    <w:rsid w:val="69BC7132"/>
    <w:rsid w:val="69C746AB"/>
    <w:rsid w:val="69CA3F91"/>
    <w:rsid w:val="69DC7C82"/>
    <w:rsid w:val="69DF3250"/>
    <w:rsid w:val="69E07061"/>
    <w:rsid w:val="69E21ED2"/>
    <w:rsid w:val="69E65E2A"/>
    <w:rsid w:val="69EC316D"/>
    <w:rsid w:val="69F16EF8"/>
    <w:rsid w:val="69F62533"/>
    <w:rsid w:val="6A0502C1"/>
    <w:rsid w:val="6A076190"/>
    <w:rsid w:val="6A094487"/>
    <w:rsid w:val="6A0F79FF"/>
    <w:rsid w:val="6A1775C4"/>
    <w:rsid w:val="6A224CC6"/>
    <w:rsid w:val="6A23222C"/>
    <w:rsid w:val="6A2743C9"/>
    <w:rsid w:val="6A291377"/>
    <w:rsid w:val="6A394950"/>
    <w:rsid w:val="6A4C2349"/>
    <w:rsid w:val="6A5409B6"/>
    <w:rsid w:val="6A587166"/>
    <w:rsid w:val="6A6A71CF"/>
    <w:rsid w:val="6A70637F"/>
    <w:rsid w:val="6A7A63CF"/>
    <w:rsid w:val="6A7F7721"/>
    <w:rsid w:val="6A813304"/>
    <w:rsid w:val="6AA07E86"/>
    <w:rsid w:val="6AA945BE"/>
    <w:rsid w:val="6AB32AD1"/>
    <w:rsid w:val="6AB91CBD"/>
    <w:rsid w:val="6ABC69D5"/>
    <w:rsid w:val="6ABF549C"/>
    <w:rsid w:val="6AD866CF"/>
    <w:rsid w:val="6AEA1899"/>
    <w:rsid w:val="6AEE4156"/>
    <w:rsid w:val="6AF81829"/>
    <w:rsid w:val="6AFA521D"/>
    <w:rsid w:val="6AFE15ED"/>
    <w:rsid w:val="6B000735"/>
    <w:rsid w:val="6B065A8F"/>
    <w:rsid w:val="6B07503E"/>
    <w:rsid w:val="6B0A1294"/>
    <w:rsid w:val="6B0A6323"/>
    <w:rsid w:val="6B0E2B5F"/>
    <w:rsid w:val="6B104DC9"/>
    <w:rsid w:val="6B163E09"/>
    <w:rsid w:val="6B176BEB"/>
    <w:rsid w:val="6B2103C6"/>
    <w:rsid w:val="6B2411D9"/>
    <w:rsid w:val="6B312F1A"/>
    <w:rsid w:val="6B335C92"/>
    <w:rsid w:val="6B482422"/>
    <w:rsid w:val="6B4F3F35"/>
    <w:rsid w:val="6B695867"/>
    <w:rsid w:val="6B6E6516"/>
    <w:rsid w:val="6B7A4729"/>
    <w:rsid w:val="6B843F0A"/>
    <w:rsid w:val="6B8E643C"/>
    <w:rsid w:val="6B991EE9"/>
    <w:rsid w:val="6BA12650"/>
    <w:rsid w:val="6BA57A9F"/>
    <w:rsid w:val="6BAA0830"/>
    <w:rsid w:val="6BBF436D"/>
    <w:rsid w:val="6BD36E03"/>
    <w:rsid w:val="6BDD65C1"/>
    <w:rsid w:val="6C041DA1"/>
    <w:rsid w:val="6C04314F"/>
    <w:rsid w:val="6C093B88"/>
    <w:rsid w:val="6C0C3493"/>
    <w:rsid w:val="6C262D6F"/>
    <w:rsid w:val="6C2853C1"/>
    <w:rsid w:val="6C2C4084"/>
    <w:rsid w:val="6C2F2D2B"/>
    <w:rsid w:val="6C355E6D"/>
    <w:rsid w:val="6C461A8C"/>
    <w:rsid w:val="6C477F48"/>
    <w:rsid w:val="6C4C3154"/>
    <w:rsid w:val="6C546640"/>
    <w:rsid w:val="6C825E6C"/>
    <w:rsid w:val="6C851B13"/>
    <w:rsid w:val="6C88521C"/>
    <w:rsid w:val="6C9A13EC"/>
    <w:rsid w:val="6C9B4308"/>
    <w:rsid w:val="6C9C5ACB"/>
    <w:rsid w:val="6C9F0EAA"/>
    <w:rsid w:val="6CA235C3"/>
    <w:rsid w:val="6CAE5F5C"/>
    <w:rsid w:val="6CBD413B"/>
    <w:rsid w:val="6CC27EEA"/>
    <w:rsid w:val="6CC356F3"/>
    <w:rsid w:val="6CD331A4"/>
    <w:rsid w:val="6CDA0131"/>
    <w:rsid w:val="6CFB0099"/>
    <w:rsid w:val="6D0F5128"/>
    <w:rsid w:val="6D12181D"/>
    <w:rsid w:val="6D2375E3"/>
    <w:rsid w:val="6D325457"/>
    <w:rsid w:val="6D3B458E"/>
    <w:rsid w:val="6D4631F2"/>
    <w:rsid w:val="6D464717"/>
    <w:rsid w:val="6D4C112A"/>
    <w:rsid w:val="6D5065FC"/>
    <w:rsid w:val="6D6869EC"/>
    <w:rsid w:val="6D8251A7"/>
    <w:rsid w:val="6D94194E"/>
    <w:rsid w:val="6DA058CE"/>
    <w:rsid w:val="6DA25577"/>
    <w:rsid w:val="6DB40C1B"/>
    <w:rsid w:val="6DB4564E"/>
    <w:rsid w:val="6DB6610C"/>
    <w:rsid w:val="6DB9200D"/>
    <w:rsid w:val="6DBC5357"/>
    <w:rsid w:val="6DCE5DC1"/>
    <w:rsid w:val="6DE05B78"/>
    <w:rsid w:val="6DE22CE3"/>
    <w:rsid w:val="6DF257F7"/>
    <w:rsid w:val="6E065842"/>
    <w:rsid w:val="6E226B42"/>
    <w:rsid w:val="6E3959AC"/>
    <w:rsid w:val="6E5B11A0"/>
    <w:rsid w:val="6E5F6E99"/>
    <w:rsid w:val="6E6850E2"/>
    <w:rsid w:val="6E6B28E9"/>
    <w:rsid w:val="6E7575BB"/>
    <w:rsid w:val="6E863728"/>
    <w:rsid w:val="6E8E42CF"/>
    <w:rsid w:val="6EDC62A4"/>
    <w:rsid w:val="6EDE1180"/>
    <w:rsid w:val="6EE67989"/>
    <w:rsid w:val="6EED125C"/>
    <w:rsid w:val="6F1717C6"/>
    <w:rsid w:val="6F1B522C"/>
    <w:rsid w:val="6F266F52"/>
    <w:rsid w:val="6F2B7886"/>
    <w:rsid w:val="6F38731F"/>
    <w:rsid w:val="6F3A31B8"/>
    <w:rsid w:val="6F3F1DBB"/>
    <w:rsid w:val="6F442B7B"/>
    <w:rsid w:val="6F476843"/>
    <w:rsid w:val="6F5042F2"/>
    <w:rsid w:val="6F5E6991"/>
    <w:rsid w:val="6F7035CC"/>
    <w:rsid w:val="6F746F94"/>
    <w:rsid w:val="6F7C11C4"/>
    <w:rsid w:val="6F7E5CEB"/>
    <w:rsid w:val="6F866925"/>
    <w:rsid w:val="6F912177"/>
    <w:rsid w:val="6F91297D"/>
    <w:rsid w:val="6F94134E"/>
    <w:rsid w:val="6F9B6E34"/>
    <w:rsid w:val="6FA96F23"/>
    <w:rsid w:val="6FAB7139"/>
    <w:rsid w:val="6FD00B15"/>
    <w:rsid w:val="6FD24FC4"/>
    <w:rsid w:val="6FDE21CB"/>
    <w:rsid w:val="6FDE3DE6"/>
    <w:rsid w:val="70136857"/>
    <w:rsid w:val="701A48A6"/>
    <w:rsid w:val="70331241"/>
    <w:rsid w:val="703560CD"/>
    <w:rsid w:val="70387541"/>
    <w:rsid w:val="703B1AAE"/>
    <w:rsid w:val="703C6073"/>
    <w:rsid w:val="70470D2C"/>
    <w:rsid w:val="704D1595"/>
    <w:rsid w:val="704F1FBE"/>
    <w:rsid w:val="70547D7A"/>
    <w:rsid w:val="705E45A6"/>
    <w:rsid w:val="706338D2"/>
    <w:rsid w:val="706D70AE"/>
    <w:rsid w:val="70902EE4"/>
    <w:rsid w:val="709274A6"/>
    <w:rsid w:val="70936CB7"/>
    <w:rsid w:val="70A32AF8"/>
    <w:rsid w:val="70A666D1"/>
    <w:rsid w:val="70B067C0"/>
    <w:rsid w:val="70BB2F34"/>
    <w:rsid w:val="70BF7084"/>
    <w:rsid w:val="70C603B1"/>
    <w:rsid w:val="70DE25FA"/>
    <w:rsid w:val="712119E2"/>
    <w:rsid w:val="71350262"/>
    <w:rsid w:val="713707CB"/>
    <w:rsid w:val="713C29CE"/>
    <w:rsid w:val="71502D25"/>
    <w:rsid w:val="715476F2"/>
    <w:rsid w:val="71604316"/>
    <w:rsid w:val="719A68DE"/>
    <w:rsid w:val="71A56D7D"/>
    <w:rsid w:val="71A7201E"/>
    <w:rsid w:val="71A76EDB"/>
    <w:rsid w:val="71BA1628"/>
    <w:rsid w:val="71C15974"/>
    <w:rsid w:val="71C50F06"/>
    <w:rsid w:val="71CC36DC"/>
    <w:rsid w:val="71CE4913"/>
    <w:rsid w:val="71D400E3"/>
    <w:rsid w:val="71E20BAA"/>
    <w:rsid w:val="71ED1A3C"/>
    <w:rsid w:val="71FA7CDD"/>
    <w:rsid w:val="72014AE7"/>
    <w:rsid w:val="721B28BA"/>
    <w:rsid w:val="722367B7"/>
    <w:rsid w:val="722C20A9"/>
    <w:rsid w:val="722D4A54"/>
    <w:rsid w:val="722E4C14"/>
    <w:rsid w:val="724904FF"/>
    <w:rsid w:val="72523B45"/>
    <w:rsid w:val="72525F31"/>
    <w:rsid w:val="725F35E1"/>
    <w:rsid w:val="726E7170"/>
    <w:rsid w:val="726F7992"/>
    <w:rsid w:val="727203B0"/>
    <w:rsid w:val="72772046"/>
    <w:rsid w:val="728F598F"/>
    <w:rsid w:val="72930BCC"/>
    <w:rsid w:val="72A10F8A"/>
    <w:rsid w:val="72B77C76"/>
    <w:rsid w:val="72BE0CE6"/>
    <w:rsid w:val="72C10C7B"/>
    <w:rsid w:val="72C363D3"/>
    <w:rsid w:val="72C47E63"/>
    <w:rsid w:val="72D02C96"/>
    <w:rsid w:val="72D24664"/>
    <w:rsid w:val="72D92B94"/>
    <w:rsid w:val="72E66016"/>
    <w:rsid w:val="72F643D7"/>
    <w:rsid w:val="72FE6594"/>
    <w:rsid w:val="72FE7A47"/>
    <w:rsid w:val="730F16AD"/>
    <w:rsid w:val="7315350B"/>
    <w:rsid w:val="731E7120"/>
    <w:rsid w:val="73272B65"/>
    <w:rsid w:val="7331708F"/>
    <w:rsid w:val="73352F4B"/>
    <w:rsid w:val="733F7FE8"/>
    <w:rsid w:val="734D71B7"/>
    <w:rsid w:val="73574247"/>
    <w:rsid w:val="735901E8"/>
    <w:rsid w:val="73642D4E"/>
    <w:rsid w:val="73722B5B"/>
    <w:rsid w:val="737E69C5"/>
    <w:rsid w:val="738224D7"/>
    <w:rsid w:val="738C2837"/>
    <w:rsid w:val="738D5519"/>
    <w:rsid w:val="73915C48"/>
    <w:rsid w:val="73986C88"/>
    <w:rsid w:val="73997330"/>
    <w:rsid w:val="73B726CD"/>
    <w:rsid w:val="73C60A71"/>
    <w:rsid w:val="73CE5639"/>
    <w:rsid w:val="73DB7AD4"/>
    <w:rsid w:val="740466DC"/>
    <w:rsid w:val="74067871"/>
    <w:rsid w:val="74286A13"/>
    <w:rsid w:val="742A357B"/>
    <w:rsid w:val="742C1234"/>
    <w:rsid w:val="74345C58"/>
    <w:rsid w:val="7435449A"/>
    <w:rsid w:val="74357E18"/>
    <w:rsid w:val="743712FF"/>
    <w:rsid w:val="746251F1"/>
    <w:rsid w:val="747F0AED"/>
    <w:rsid w:val="74933CAE"/>
    <w:rsid w:val="749A0EBA"/>
    <w:rsid w:val="74A87733"/>
    <w:rsid w:val="74AB58E2"/>
    <w:rsid w:val="74B87419"/>
    <w:rsid w:val="74C2410C"/>
    <w:rsid w:val="74C77F8F"/>
    <w:rsid w:val="74D31F93"/>
    <w:rsid w:val="74D32F5C"/>
    <w:rsid w:val="74ED29DF"/>
    <w:rsid w:val="74EF7A88"/>
    <w:rsid w:val="74F41B3F"/>
    <w:rsid w:val="75023806"/>
    <w:rsid w:val="75042D00"/>
    <w:rsid w:val="75170168"/>
    <w:rsid w:val="75171CB7"/>
    <w:rsid w:val="75181D0C"/>
    <w:rsid w:val="75251CA6"/>
    <w:rsid w:val="7532556C"/>
    <w:rsid w:val="753567C4"/>
    <w:rsid w:val="753C4DB8"/>
    <w:rsid w:val="753C6BC5"/>
    <w:rsid w:val="755F251B"/>
    <w:rsid w:val="75653B97"/>
    <w:rsid w:val="756F65C9"/>
    <w:rsid w:val="757C3C65"/>
    <w:rsid w:val="7587099D"/>
    <w:rsid w:val="758777A3"/>
    <w:rsid w:val="758E76C8"/>
    <w:rsid w:val="758F6DF0"/>
    <w:rsid w:val="759E030C"/>
    <w:rsid w:val="75A03F8B"/>
    <w:rsid w:val="75A30B3B"/>
    <w:rsid w:val="75C9314B"/>
    <w:rsid w:val="75CD7A9E"/>
    <w:rsid w:val="75D32380"/>
    <w:rsid w:val="75DF2ADE"/>
    <w:rsid w:val="75E97CBC"/>
    <w:rsid w:val="75EE58BE"/>
    <w:rsid w:val="75EF0432"/>
    <w:rsid w:val="75F04EA5"/>
    <w:rsid w:val="760237BA"/>
    <w:rsid w:val="760F6998"/>
    <w:rsid w:val="76256F6A"/>
    <w:rsid w:val="762C381A"/>
    <w:rsid w:val="7630234F"/>
    <w:rsid w:val="7637209D"/>
    <w:rsid w:val="765648F4"/>
    <w:rsid w:val="765A3590"/>
    <w:rsid w:val="76626271"/>
    <w:rsid w:val="766942BF"/>
    <w:rsid w:val="766C61CA"/>
    <w:rsid w:val="766D6607"/>
    <w:rsid w:val="76854525"/>
    <w:rsid w:val="76870716"/>
    <w:rsid w:val="768973AD"/>
    <w:rsid w:val="769A164A"/>
    <w:rsid w:val="76B816B9"/>
    <w:rsid w:val="76C44652"/>
    <w:rsid w:val="76D24C22"/>
    <w:rsid w:val="76E3500A"/>
    <w:rsid w:val="76EA4473"/>
    <w:rsid w:val="76F024C5"/>
    <w:rsid w:val="76F827C9"/>
    <w:rsid w:val="76FE3C5F"/>
    <w:rsid w:val="770501C8"/>
    <w:rsid w:val="770B2DFA"/>
    <w:rsid w:val="77196399"/>
    <w:rsid w:val="772565F0"/>
    <w:rsid w:val="7730775E"/>
    <w:rsid w:val="773B38CD"/>
    <w:rsid w:val="77482E3E"/>
    <w:rsid w:val="77506686"/>
    <w:rsid w:val="77533618"/>
    <w:rsid w:val="77543701"/>
    <w:rsid w:val="7756014A"/>
    <w:rsid w:val="77633F93"/>
    <w:rsid w:val="7773745F"/>
    <w:rsid w:val="7777787F"/>
    <w:rsid w:val="77796EEC"/>
    <w:rsid w:val="77850779"/>
    <w:rsid w:val="779112DE"/>
    <w:rsid w:val="779301B8"/>
    <w:rsid w:val="779872B1"/>
    <w:rsid w:val="77A44EBD"/>
    <w:rsid w:val="77A8110F"/>
    <w:rsid w:val="77AF3A2E"/>
    <w:rsid w:val="77B9258D"/>
    <w:rsid w:val="77C257BC"/>
    <w:rsid w:val="77CE29F9"/>
    <w:rsid w:val="77D96AB5"/>
    <w:rsid w:val="77EA35E1"/>
    <w:rsid w:val="77EB7F50"/>
    <w:rsid w:val="77EC3FBC"/>
    <w:rsid w:val="77EF5ABA"/>
    <w:rsid w:val="77F77EF1"/>
    <w:rsid w:val="77F9042D"/>
    <w:rsid w:val="780C2F64"/>
    <w:rsid w:val="781867E2"/>
    <w:rsid w:val="781C3BA1"/>
    <w:rsid w:val="781C4D65"/>
    <w:rsid w:val="781C6F90"/>
    <w:rsid w:val="781D47E8"/>
    <w:rsid w:val="78377FA9"/>
    <w:rsid w:val="783A0870"/>
    <w:rsid w:val="783E1895"/>
    <w:rsid w:val="784620E0"/>
    <w:rsid w:val="784F47D0"/>
    <w:rsid w:val="78511E20"/>
    <w:rsid w:val="78541BC8"/>
    <w:rsid w:val="78643585"/>
    <w:rsid w:val="787448C0"/>
    <w:rsid w:val="787725DC"/>
    <w:rsid w:val="78820E48"/>
    <w:rsid w:val="788D375A"/>
    <w:rsid w:val="788D5535"/>
    <w:rsid w:val="78901DC0"/>
    <w:rsid w:val="78A51294"/>
    <w:rsid w:val="78B234C0"/>
    <w:rsid w:val="78B44166"/>
    <w:rsid w:val="78CE556C"/>
    <w:rsid w:val="78D3268E"/>
    <w:rsid w:val="78E76F00"/>
    <w:rsid w:val="78EA18B5"/>
    <w:rsid w:val="78F7221A"/>
    <w:rsid w:val="790025E2"/>
    <w:rsid w:val="790B5F0B"/>
    <w:rsid w:val="790D487D"/>
    <w:rsid w:val="79151897"/>
    <w:rsid w:val="791D46F4"/>
    <w:rsid w:val="791D48AF"/>
    <w:rsid w:val="791E741C"/>
    <w:rsid w:val="792065AB"/>
    <w:rsid w:val="79307D50"/>
    <w:rsid w:val="793369BB"/>
    <w:rsid w:val="79376357"/>
    <w:rsid w:val="79384D4E"/>
    <w:rsid w:val="793C3AEC"/>
    <w:rsid w:val="79590CAE"/>
    <w:rsid w:val="795A2E33"/>
    <w:rsid w:val="79712D4E"/>
    <w:rsid w:val="79763D1D"/>
    <w:rsid w:val="797E10F3"/>
    <w:rsid w:val="79811ABB"/>
    <w:rsid w:val="799153C2"/>
    <w:rsid w:val="7991577C"/>
    <w:rsid w:val="799C504E"/>
    <w:rsid w:val="79A846F2"/>
    <w:rsid w:val="79C435AC"/>
    <w:rsid w:val="79CF4BFF"/>
    <w:rsid w:val="79D16243"/>
    <w:rsid w:val="79D50F48"/>
    <w:rsid w:val="79E11455"/>
    <w:rsid w:val="79E41EDC"/>
    <w:rsid w:val="79E6269B"/>
    <w:rsid w:val="79EB1CE3"/>
    <w:rsid w:val="79FE1010"/>
    <w:rsid w:val="7A02233A"/>
    <w:rsid w:val="7A093A4B"/>
    <w:rsid w:val="7A0B144C"/>
    <w:rsid w:val="7A16761A"/>
    <w:rsid w:val="7A2B6BFC"/>
    <w:rsid w:val="7A3446B9"/>
    <w:rsid w:val="7A361730"/>
    <w:rsid w:val="7A362DF3"/>
    <w:rsid w:val="7A3D1CBD"/>
    <w:rsid w:val="7A4E066B"/>
    <w:rsid w:val="7A570F48"/>
    <w:rsid w:val="7A690AA4"/>
    <w:rsid w:val="7A716384"/>
    <w:rsid w:val="7A771A92"/>
    <w:rsid w:val="7A7E0F7C"/>
    <w:rsid w:val="7A8141B4"/>
    <w:rsid w:val="7A8608DA"/>
    <w:rsid w:val="7A866B65"/>
    <w:rsid w:val="7A8F0F06"/>
    <w:rsid w:val="7AA611AD"/>
    <w:rsid w:val="7AAC5163"/>
    <w:rsid w:val="7AAE32EE"/>
    <w:rsid w:val="7AB64B7F"/>
    <w:rsid w:val="7AB83998"/>
    <w:rsid w:val="7AC42F0A"/>
    <w:rsid w:val="7AC837B2"/>
    <w:rsid w:val="7AD556C6"/>
    <w:rsid w:val="7AD96F57"/>
    <w:rsid w:val="7ADA240E"/>
    <w:rsid w:val="7AE3374D"/>
    <w:rsid w:val="7AE60410"/>
    <w:rsid w:val="7AE8068F"/>
    <w:rsid w:val="7AEF0F59"/>
    <w:rsid w:val="7AFC6C61"/>
    <w:rsid w:val="7B0618AA"/>
    <w:rsid w:val="7B0C6C47"/>
    <w:rsid w:val="7B100134"/>
    <w:rsid w:val="7B140C18"/>
    <w:rsid w:val="7B17772E"/>
    <w:rsid w:val="7B237C2D"/>
    <w:rsid w:val="7B2619BD"/>
    <w:rsid w:val="7B3A77A1"/>
    <w:rsid w:val="7B4E6C21"/>
    <w:rsid w:val="7B687B46"/>
    <w:rsid w:val="7B6B0E01"/>
    <w:rsid w:val="7B8072BD"/>
    <w:rsid w:val="7B857DFD"/>
    <w:rsid w:val="7B872BC1"/>
    <w:rsid w:val="7B8C1FCE"/>
    <w:rsid w:val="7BAA2194"/>
    <w:rsid w:val="7BB345C7"/>
    <w:rsid w:val="7BB500D3"/>
    <w:rsid w:val="7BB636DB"/>
    <w:rsid w:val="7BC932E9"/>
    <w:rsid w:val="7BCD6FDB"/>
    <w:rsid w:val="7BDC2553"/>
    <w:rsid w:val="7BE07191"/>
    <w:rsid w:val="7BED6ADF"/>
    <w:rsid w:val="7BF3470B"/>
    <w:rsid w:val="7BF62672"/>
    <w:rsid w:val="7BFB0E2E"/>
    <w:rsid w:val="7C04726C"/>
    <w:rsid w:val="7C0E793C"/>
    <w:rsid w:val="7C15330B"/>
    <w:rsid w:val="7C165BEA"/>
    <w:rsid w:val="7C2F311D"/>
    <w:rsid w:val="7C334A84"/>
    <w:rsid w:val="7C3369FF"/>
    <w:rsid w:val="7C4B3003"/>
    <w:rsid w:val="7C5D4742"/>
    <w:rsid w:val="7C685003"/>
    <w:rsid w:val="7C685B0C"/>
    <w:rsid w:val="7C693034"/>
    <w:rsid w:val="7C7C6F89"/>
    <w:rsid w:val="7C80382D"/>
    <w:rsid w:val="7C877E9D"/>
    <w:rsid w:val="7C961B41"/>
    <w:rsid w:val="7CA16E24"/>
    <w:rsid w:val="7CB4253C"/>
    <w:rsid w:val="7CC34013"/>
    <w:rsid w:val="7D130DE6"/>
    <w:rsid w:val="7D1E3983"/>
    <w:rsid w:val="7D1F00CD"/>
    <w:rsid w:val="7D2029E6"/>
    <w:rsid w:val="7D217D1F"/>
    <w:rsid w:val="7D230509"/>
    <w:rsid w:val="7D2B1D99"/>
    <w:rsid w:val="7D2F69F2"/>
    <w:rsid w:val="7D3B35AF"/>
    <w:rsid w:val="7D44284B"/>
    <w:rsid w:val="7D482282"/>
    <w:rsid w:val="7D630FC1"/>
    <w:rsid w:val="7D6A0582"/>
    <w:rsid w:val="7D6B57A6"/>
    <w:rsid w:val="7D7E3FD4"/>
    <w:rsid w:val="7D863491"/>
    <w:rsid w:val="7D906B83"/>
    <w:rsid w:val="7D9B6842"/>
    <w:rsid w:val="7D9E0665"/>
    <w:rsid w:val="7D9E113D"/>
    <w:rsid w:val="7DCE406F"/>
    <w:rsid w:val="7DD34B2B"/>
    <w:rsid w:val="7DDD7A92"/>
    <w:rsid w:val="7DDF04F8"/>
    <w:rsid w:val="7DF756B6"/>
    <w:rsid w:val="7E021F6E"/>
    <w:rsid w:val="7E1414EA"/>
    <w:rsid w:val="7E1F4C2E"/>
    <w:rsid w:val="7E2925C4"/>
    <w:rsid w:val="7E2E6F29"/>
    <w:rsid w:val="7E3B75AA"/>
    <w:rsid w:val="7E442A1C"/>
    <w:rsid w:val="7E481E1B"/>
    <w:rsid w:val="7E605E66"/>
    <w:rsid w:val="7E6C77F5"/>
    <w:rsid w:val="7E917844"/>
    <w:rsid w:val="7E9D2CB8"/>
    <w:rsid w:val="7EA518CF"/>
    <w:rsid w:val="7EB6638D"/>
    <w:rsid w:val="7EB80204"/>
    <w:rsid w:val="7EBF25CB"/>
    <w:rsid w:val="7ECD425E"/>
    <w:rsid w:val="7EEF0C9B"/>
    <w:rsid w:val="7EF40467"/>
    <w:rsid w:val="7F221528"/>
    <w:rsid w:val="7F2758F9"/>
    <w:rsid w:val="7F614D6B"/>
    <w:rsid w:val="7F766E68"/>
    <w:rsid w:val="7F7961C8"/>
    <w:rsid w:val="7F8120E3"/>
    <w:rsid w:val="7F8153B4"/>
    <w:rsid w:val="7F8D34AD"/>
    <w:rsid w:val="7F917268"/>
    <w:rsid w:val="7F985C88"/>
    <w:rsid w:val="7F9D3C4D"/>
    <w:rsid w:val="7F9F3C64"/>
    <w:rsid w:val="7FA51353"/>
    <w:rsid w:val="7FA76F26"/>
    <w:rsid w:val="7FA930C2"/>
    <w:rsid w:val="7FAC63C5"/>
    <w:rsid w:val="7FBE3155"/>
    <w:rsid w:val="7FCB3CB6"/>
    <w:rsid w:val="7FDC1348"/>
    <w:rsid w:val="7FE80B25"/>
    <w:rsid w:val="7FE9425B"/>
    <w:rsid w:val="7FEA554D"/>
    <w:rsid w:val="7FEE326D"/>
    <w:rsid w:val="7FF1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link w:val="20"/>
    <w:qFormat/>
    <w:uiPriority w:val="1"/>
    <w:pPr>
      <w:spacing w:before="50"/>
      <w:ind w:right="255"/>
      <w:jc w:val="center"/>
      <w:outlineLvl w:val="0"/>
    </w:pPr>
    <w:rPr>
      <w:b/>
      <w:bCs/>
      <w:sz w:val="36"/>
      <w:szCs w:val="36"/>
    </w:rPr>
  </w:style>
  <w:style w:type="paragraph" w:styleId="4">
    <w:name w:val="heading 2"/>
    <w:basedOn w:val="1"/>
    <w:next w:val="1"/>
    <w:link w:val="23"/>
    <w:qFormat/>
    <w:uiPriority w:val="1"/>
    <w:pPr>
      <w:spacing w:before="54"/>
      <w:ind w:left="231"/>
      <w:outlineLvl w:val="1"/>
    </w:pPr>
    <w:rPr>
      <w:rFonts w:ascii="黑体" w:hAnsi="黑体" w:eastAsia="黑体" w:cs="黑体"/>
      <w:sz w:val="32"/>
      <w:szCs w:val="32"/>
    </w:rPr>
  </w:style>
  <w:style w:type="paragraph" w:styleId="5">
    <w:name w:val="heading 3"/>
    <w:basedOn w:val="1"/>
    <w:next w:val="1"/>
    <w:link w:val="24"/>
    <w:qFormat/>
    <w:uiPriority w:val="1"/>
    <w:pPr>
      <w:ind w:right="257"/>
      <w:jc w:val="center"/>
      <w:outlineLvl w:val="2"/>
    </w:pPr>
    <w:rPr>
      <w:b/>
      <w:bCs/>
      <w:sz w:val="30"/>
      <w:szCs w:val="30"/>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6">
    <w:name w:val="annotation text"/>
    <w:basedOn w:val="1"/>
    <w:link w:val="27"/>
    <w:unhideWhenUsed/>
    <w:qFormat/>
    <w:uiPriority w:val="99"/>
    <w:pPr>
      <w:widowControl/>
      <w:autoSpaceDE/>
      <w:autoSpaceDN/>
      <w:spacing w:after="11" w:line="268" w:lineRule="auto"/>
      <w:ind w:left="20" w:hanging="10"/>
    </w:pPr>
    <w:rPr>
      <w:rFonts w:ascii="华文宋体" w:hAnsi="华文宋体" w:eastAsia="华文宋体" w:cs="华文宋体"/>
      <w:color w:val="000000"/>
      <w:kern w:val="2"/>
      <w:sz w:val="24"/>
      <w:lang w:val="en-US" w:bidi="ar-SA"/>
    </w:rPr>
  </w:style>
  <w:style w:type="paragraph" w:styleId="7">
    <w:name w:val="Body Text"/>
    <w:basedOn w:val="1"/>
    <w:link w:val="25"/>
    <w:qFormat/>
    <w:uiPriority w:val="1"/>
    <w:pPr>
      <w:ind w:left="231"/>
    </w:pPr>
    <w:rPr>
      <w:sz w:val="30"/>
      <w:szCs w:val="30"/>
    </w:rPr>
  </w:style>
  <w:style w:type="paragraph" w:styleId="8">
    <w:name w:val="Balloon Text"/>
    <w:basedOn w:val="1"/>
    <w:link w:val="26"/>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96"/>
      <w:ind w:right="491"/>
      <w:jc w:val="right"/>
    </w:pPr>
    <w:rPr>
      <w:sz w:val="30"/>
      <w:szCs w:val="30"/>
    </w:rPr>
  </w:style>
  <w:style w:type="paragraph" w:styleId="12">
    <w:name w:val="toc 2"/>
    <w:basedOn w:val="1"/>
    <w:next w:val="1"/>
    <w:unhideWhenUsed/>
    <w:qFormat/>
    <w:uiPriority w:val="39"/>
    <w:pPr>
      <w:ind w:left="420" w:left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231" w:firstLine="600"/>
    </w:pPr>
  </w:style>
  <w:style w:type="paragraph" w:customStyle="1" w:styleId="19">
    <w:name w:val="Table Paragraph"/>
    <w:basedOn w:val="1"/>
    <w:qFormat/>
    <w:uiPriority w:val="1"/>
  </w:style>
  <w:style w:type="character" w:customStyle="1" w:styleId="20">
    <w:name w:val="标题 1 Char"/>
    <w:basedOn w:val="15"/>
    <w:link w:val="3"/>
    <w:qFormat/>
    <w:uiPriority w:val="1"/>
    <w:rPr>
      <w:rFonts w:ascii="仿宋" w:hAnsi="仿宋" w:eastAsia="仿宋" w:cs="仿宋"/>
      <w:b/>
      <w:bCs/>
      <w:sz w:val="36"/>
      <w:szCs w:val="36"/>
      <w:lang w:val="zh-CN" w:eastAsia="zh-CN" w:bidi="zh-CN"/>
    </w:rPr>
  </w:style>
  <w:style w:type="character" w:customStyle="1" w:styleId="21">
    <w:name w:val="页眉 Char"/>
    <w:basedOn w:val="15"/>
    <w:link w:val="10"/>
    <w:qFormat/>
    <w:uiPriority w:val="99"/>
    <w:rPr>
      <w:rFonts w:ascii="仿宋" w:hAnsi="仿宋" w:eastAsia="仿宋" w:cs="仿宋"/>
      <w:sz w:val="18"/>
      <w:szCs w:val="18"/>
      <w:lang w:val="zh-CN" w:eastAsia="zh-CN" w:bidi="zh-CN"/>
    </w:rPr>
  </w:style>
  <w:style w:type="character" w:customStyle="1" w:styleId="22">
    <w:name w:val="页脚 Char"/>
    <w:basedOn w:val="15"/>
    <w:link w:val="9"/>
    <w:qFormat/>
    <w:uiPriority w:val="99"/>
    <w:rPr>
      <w:rFonts w:ascii="仿宋" w:hAnsi="仿宋" w:eastAsia="仿宋" w:cs="仿宋"/>
      <w:sz w:val="18"/>
      <w:szCs w:val="18"/>
      <w:lang w:val="zh-CN" w:eastAsia="zh-CN" w:bidi="zh-CN"/>
    </w:rPr>
  </w:style>
  <w:style w:type="character" w:customStyle="1" w:styleId="23">
    <w:name w:val="标题 2 Char"/>
    <w:basedOn w:val="15"/>
    <w:link w:val="4"/>
    <w:qFormat/>
    <w:uiPriority w:val="1"/>
    <w:rPr>
      <w:rFonts w:ascii="黑体" w:hAnsi="黑体" w:eastAsia="黑体" w:cs="黑体"/>
      <w:sz w:val="32"/>
      <w:szCs w:val="32"/>
      <w:lang w:val="zh-CN" w:eastAsia="zh-CN" w:bidi="zh-CN"/>
    </w:rPr>
  </w:style>
  <w:style w:type="character" w:customStyle="1" w:styleId="24">
    <w:name w:val="标题 3 Char"/>
    <w:basedOn w:val="15"/>
    <w:link w:val="5"/>
    <w:qFormat/>
    <w:uiPriority w:val="1"/>
    <w:rPr>
      <w:rFonts w:ascii="仿宋" w:hAnsi="仿宋" w:eastAsia="仿宋" w:cs="仿宋"/>
      <w:b/>
      <w:bCs/>
      <w:sz w:val="30"/>
      <w:szCs w:val="30"/>
      <w:lang w:val="zh-CN" w:eastAsia="zh-CN" w:bidi="zh-CN"/>
    </w:rPr>
  </w:style>
  <w:style w:type="character" w:customStyle="1" w:styleId="25">
    <w:name w:val="正文文本 Char"/>
    <w:basedOn w:val="15"/>
    <w:link w:val="7"/>
    <w:qFormat/>
    <w:uiPriority w:val="1"/>
    <w:rPr>
      <w:rFonts w:ascii="仿宋" w:hAnsi="仿宋" w:eastAsia="仿宋" w:cs="仿宋"/>
      <w:sz w:val="30"/>
      <w:szCs w:val="30"/>
      <w:lang w:val="zh-CN" w:eastAsia="zh-CN" w:bidi="zh-CN"/>
    </w:rPr>
  </w:style>
  <w:style w:type="character" w:customStyle="1" w:styleId="26">
    <w:name w:val="批注框文本 Char"/>
    <w:basedOn w:val="15"/>
    <w:link w:val="8"/>
    <w:semiHidden/>
    <w:qFormat/>
    <w:uiPriority w:val="99"/>
    <w:rPr>
      <w:rFonts w:ascii="仿宋" w:hAnsi="仿宋" w:eastAsia="仿宋" w:cs="仿宋"/>
      <w:sz w:val="18"/>
      <w:szCs w:val="18"/>
      <w:lang w:val="zh-CN" w:eastAsia="zh-CN" w:bidi="zh-CN"/>
    </w:rPr>
  </w:style>
  <w:style w:type="character" w:customStyle="1" w:styleId="27">
    <w:name w:val="批注文字 Char"/>
    <w:basedOn w:val="15"/>
    <w:link w:val="6"/>
    <w:qFormat/>
    <w:uiPriority w:val="99"/>
    <w:rPr>
      <w:rFonts w:ascii="华文宋体" w:hAnsi="华文宋体" w:eastAsia="华文宋体" w:cs="华文宋体"/>
      <w:color w:val="000000"/>
      <w:kern w:val="2"/>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30149-022D-4300-ABD1-E786CB0718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4072</Words>
  <Characters>23215</Characters>
  <Lines>193</Lines>
  <Paragraphs>54</Paragraphs>
  <TotalTime>14</TotalTime>
  <ScaleCrop>false</ScaleCrop>
  <LinksUpToDate>false</LinksUpToDate>
  <CharactersWithSpaces>27233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2020-09-13T10:07:00Z</dcterms:created>
  <dc:creator>Lenovo</dc:creator>
  <cp:lastModifiedBy>惬惬</cp:lastModifiedBy>
  <cp:lastPrinted>2021-03-17T08:16:00Z</cp:lastPrinted>
  <dcterms:modified xsi:type="dcterms:W3CDTF">2021-03-19T03:30:47Z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WPS 文字</vt:lpwstr>
  </property>
  <property fmtid="{D5CDD505-2E9C-101B-9397-08002B2CF9AE}" pid="4" name="LastSaved">
    <vt:filetime>2020-09-12T00:00:00Z</vt:filetime>
  </property>
  <property fmtid="{D5CDD505-2E9C-101B-9397-08002B2CF9AE}" pid="5" name="KSOProductBuildVer">
    <vt:lpwstr>2052-11.1.0.10314</vt:lpwstr>
  </property>
  <property fmtid="{D5CDD505-2E9C-101B-9397-08002B2CF9AE}" pid="6" name="ribbonExt">
    <vt:lpwstr>{"WPSExtOfficeTab":{"OnGetEnabled":false,"OnGetVisible":false}}</vt:lpwstr>
  </property>
</Properties>
</file>