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432" w:hanging="432"/>
        <w:jc w:val="center"/>
        <w:rPr>
          <w:rFonts w:eastAsia="宋体"/>
          <w:b/>
          <w:sz w:val="36"/>
          <w:szCs w:val="36"/>
        </w:rPr>
      </w:pPr>
      <w:bookmarkStart w:id="0" w:name="_GoBack"/>
      <w:bookmarkEnd w:id="0"/>
      <w:r>
        <w:rPr>
          <w:rFonts w:hint="eastAsia" w:eastAsia="宋体"/>
          <w:b/>
          <w:sz w:val="36"/>
          <w:szCs w:val="36"/>
        </w:rPr>
        <w:t>医用耗材配送企业操作手册</w:t>
      </w:r>
    </w:p>
    <w:p>
      <w:pPr>
        <w:ind w:left="432" w:hanging="432"/>
        <w:jc w:val="center"/>
        <w:rPr>
          <w:rFonts w:eastAsia="宋体"/>
          <w:b/>
          <w:sz w:val="36"/>
          <w:szCs w:val="36"/>
        </w:rPr>
      </w:pPr>
      <w:r>
        <w:rPr>
          <w:rFonts w:hint="eastAsia" w:eastAsia="宋体"/>
          <w:b/>
          <w:sz w:val="36"/>
          <w:szCs w:val="36"/>
        </w:rPr>
        <w:t>（竞价议价系统）</w:t>
      </w:r>
    </w:p>
    <w:p>
      <w:pPr>
        <w:ind w:left="432" w:hanging="432"/>
        <w:jc w:val="center"/>
        <w:rPr>
          <w:b/>
          <w:sz w:val="36"/>
          <w:szCs w:val="36"/>
        </w:rPr>
      </w:pPr>
    </w:p>
    <w:p>
      <w:pPr>
        <w:pStyle w:val="5"/>
        <w:numPr>
          <w:ilvl w:val="0"/>
          <w:numId w:val="1"/>
        </w:numPr>
        <w:ind w:firstLineChars="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修改密码</w:t>
      </w:r>
    </w:p>
    <w:p>
      <w:pPr>
        <w:pStyle w:val="5"/>
        <w:numPr>
          <w:ilvl w:val="0"/>
          <w:numId w:val="2"/>
        </w:numPr>
        <w:ind w:firstLineChars="0"/>
        <w:rPr>
          <w:b/>
        </w:rPr>
      </w:pPr>
      <w:r>
        <w:rPr>
          <w:rFonts w:hint="eastAsia"/>
          <w:b/>
        </w:rPr>
        <w:t>系统管理</w:t>
      </w:r>
      <w:r>
        <w:rPr>
          <w:b/>
        </w:rPr>
        <w:t>—</w:t>
      </w:r>
      <w:r>
        <w:rPr>
          <w:rFonts w:hint="eastAsia"/>
          <w:b/>
        </w:rPr>
        <w:t>账号管理</w:t>
      </w:r>
      <w:r>
        <w:rPr>
          <w:b/>
        </w:rPr>
        <w:t>—</w:t>
      </w:r>
      <w:r>
        <w:rPr>
          <w:rFonts w:hint="eastAsia"/>
          <w:b/>
        </w:rPr>
        <w:t>修改密码。</w:t>
      </w:r>
    </w:p>
    <w:p>
      <w:pPr>
        <w:ind w:left="432"/>
      </w:pPr>
      <w:r>
        <w:rPr>
          <w:rFonts w:hint="eastAsia"/>
        </w:rPr>
        <w:t>填写完“原密码”、“新密码”之后点击“修改密码”即完成密码修改。</w:t>
      </w:r>
    </w:p>
    <w:p>
      <w:pPr>
        <w:ind w:left="432"/>
      </w:pPr>
      <w:r>
        <w:drawing>
          <wp:inline distT="0" distB="0" distL="0" distR="0">
            <wp:extent cx="5274310" cy="15824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5"/>
        <w:numPr>
          <w:ilvl w:val="0"/>
          <w:numId w:val="1"/>
        </w:numPr>
        <w:ind w:firstLineChars="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会员信息维护</w:t>
      </w:r>
    </w:p>
    <w:p>
      <w:pPr>
        <w:pStyle w:val="5"/>
        <w:numPr>
          <w:ilvl w:val="0"/>
          <w:numId w:val="3"/>
        </w:numPr>
        <w:ind w:firstLineChars="0"/>
        <w:rPr>
          <w:b/>
          <w:szCs w:val="21"/>
        </w:rPr>
      </w:pPr>
      <w:r>
        <w:rPr>
          <w:rFonts w:hint="eastAsia"/>
          <w:b/>
          <w:szCs w:val="21"/>
        </w:rPr>
        <w:t>会员管理</w:t>
      </w:r>
      <w:r>
        <w:rPr>
          <w:b/>
          <w:szCs w:val="21"/>
        </w:rPr>
        <w:t>—</w:t>
      </w:r>
      <w:r>
        <w:rPr>
          <w:rFonts w:hint="eastAsia"/>
          <w:b/>
          <w:szCs w:val="21"/>
        </w:rPr>
        <w:t>会员信息管理</w:t>
      </w:r>
      <w:r>
        <w:rPr>
          <w:b/>
          <w:szCs w:val="21"/>
        </w:rPr>
        <w:t>—</w:t>
      </w:r>
      <w:r>
        <w:rPr>
          <w:rFonts w:hint="eastAsia"/>
          <w:b/>
          <w:szCs w:val="21"/>
        </w:rPr>
        <w:t>会员资料变更。</w:t>
      </w:r>
    </w:p>
    <w:p>
      <w:pPr>
        <w:ind w:left="420"/>
        <w:rPr>
          <w:szCs w:val="21"/>
        </w:rPr>
      </w:pPr>
      <w:r>
        <w:rPr>
          <w:rFonts w:hint="eastAsia"/>
          <w:szCs w:val="21"/>
        </w:rPr>
        <w:t>点击“变更”。</w:t>
      </w:r>
    </w:p>
    <w:p>
      <w:pPr>
        <w:ind w:left="420"/>
        <w:rPr>
          <w:b/>
          <w:sz w:val="28"/>
          <w:szCs w:val="28"/>
        </w:rPr>
      </w:pPr>
      <w:r>
        <w:drawing>
          <wp:inline distT="0" distB="0" distL="0" distR="0">
            <wp:extent cx="5274310" cy="82486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szCs w:val="21"/>
        </w:rPr>
      </w:pPr>
      <w:r>
        <w:rPr>
          <w:rFonts w:hint="eastAsia"/>
          <w:szCs w:val="21"/>
        </w:rPr>
        <w:t>填写完相关信息并提交审核。</w:t>
      </w:r>
    </w:p>
    <w:p>
      <w:pPr>
        <w:ind w:left="420"/>
        <w:rPr>
          <w:b/>
          <w:sz w:val="28"/>
          <w:szCs w:val="28"/>
        </w:rPr>
      </w:pPr>
      <w:r>
        <w:drawing>
          <wp:inline distT="0" distB="0" distL="0" distR="0">
            <wp:extent cx="5274310" cy="170497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</w:p>
    <w:p>
      <w:pPr>
        <w:pStyle w:val="5"/>
        <w:numPr>
          <w:ilvl w:val="0"/>
          <w:numId w:val="1"/>
        </w:numPr>
        <w:ind w:firstLineChars="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配送区域管理</w:t>
      </w:r>
    </w:p>
    <w:p>
      <w:pPr>
        <w:pStyle w:val="5"/>
        <w:numPr>
          <w:ilvl w:val="0"/>
          <w:numId w:val="4"/>
        </w:numPr>
        <w:ind w:firstLineChars="0"/>
        <w:rPr>
          <w:b/>
        </w:rPr>
      </w:pPr>
      <w:r>
        <w:rPr>
          <w:rFonts w:hint="eastAsia"/>
          <w:b/>
        </w:rPr>
        <w:t>配送区域查询</w:t>
      </w:r>
    </w:p>
    <w:p>
      <w:pPr>
        <w:spacing w:line="312" w:lineRule="auto"/>
        <w:ind w:left="432" w:firstLine="210" w:firstLineChars="100"/>
        <w:rPr>
          <w:rFonts w:ascii="宋体" w:hAnsi="宋体"/>
          <w:szCs w:val="21"/>
        </w:rPr>
      </w:pPr>
      <w:r>
        <w:rPr>
          <w:rFonts w:hint="eastAsia"/>
          <w:szCs w:val="21"/>
        </w:rPr>
        <w:t>打开</w:t>
      </w:r>
      <w:r>
        <w:rPr>
          <w:szCs w:val="21"/>
        </w:rPr>
        <w:t>【</w:t>
      </w:r>
      <w:r>
        <w:rPr>
          <w:rFonts w:hint="eastAsia"/>
          <w:szCs w:val="21"/>
        </w:rPr>
        <w:t>会员</w:t>
      </w:r>
      <w:r>
        <w:rPr>
          <w:szCs w:val="21"/>
        </w:rPr>
        <w:t>管理】</w:t>
      </w:r>
      <w:r>
        <w:rPr>
          <w:rFonts w:hint="eastAsia"/>
          <w:szCs w:val="21"/>
        </w:rPr>
        <w:t>-&gt;【会员信息管理</w:t>
      </w:r>
      <w:r>
        <w:rPr>
          <w:szCs w:val="21"/>
        </w:rPr>
        <w:t>】</w:t>
      </w:r>
      <w:r>
        <w:rPr>
          <w:rFonts w:hint="eastAsia"/>
          <w:szCs w:val="21"/>
        </w:rPr>
        <w:t>-&gt;【配送区域管理</w:t>
      </w:r>
      <w:r>
        <w:rPr>
          <w:szCs w:val="21"/>
        </w:rPr>
        <w:t>】</w:t>
      </w:r>
      <w:r>
        <w:rPr>
          <w:rFonts w:hint="eastAsia"/>
          <w:szCs w:val="21"/>
        </w:rPr>
        <w:t>进入配送区域管理列</w:t>
      </w:r>
      <w:r>
        <w:rPr>
          <w:rFonts w:hint="eastAsia" w:ascii="宋体" w:hAnsi="宋体"/>
          <w:szCs w:val="21"/>
        </w:rPr>
        <w:t>表，输入区域名称，点“查询”按钮查询配送区域。</w:t>
      </w:r>
    </w:p>
    <w:p>
      <w:pPr>
        <w:ind w:left="432"/>
      </w:pPr>
      <w:r>
        <w:drawing>
          <wp:inline distT="0" distB="0" distL="0" distR="0">
            <wp:extent cx="5274310" cy="140398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32"/>
        <w:rPr>
          <w:rFonts w:hint="eastAsia"/>
          <w:b/>
        </w:rPr>
      </w:pPr>
    </w:p>
    <w:p>
      <w:pPr>
        <w:ind w:firstLine="420" w:firstLineChars="200"/>
        <w:rPr>
          <w:b/>
        </w:rPr>
      </w:pPr>
      <w:r>
        <w:rPr>
          <w:rFonts w:hint="eastAsia"/>
          <w:b/>
        </w:rPr>
        <w:t>2，配送县级以上机构</w:t>
      </w:r>
    </w:p>
    <w:p>
      <w:pPr>
        <w:spacing w:line="312" w:lineRule="auto"/>
        <w:ind w:firstLine="525" w:firstLineChars="250"/>
        <w:rPr>
          <w:rFonts w:ascii="宋体" w:hAnsi="宋体"/>
          <w:szCs w:val="21"/>
        </w:rPr>
      </w:pPr>
      <w:r>
        <w:rPr>
          <w:rFonts w:hint="eastAsia"/>
          <w:szCs w:val="21"/>
        </w:rPr>
        <w:t>配送区域列表里有一个“配送县以上医疗机构”列，在该列可以对区域的配送进行“选择/取消”的操作，在“</w:t>
      </w:r>
      <w:r>
        <w:rPr>
          <w:szCs w:val="21"/>
        </w:rPr>
        <w:t>县以上医疗机构配送覆盖情况</w:t>
      </w:r>
      <w:r>
        <w:rPr>
          <w:rFonts w:hint="eastAsia"/>
          <w:szCs w:val="21"/>
        </w:rPr>
        <w:t>”列里就会显示相应的“已配送/未配送”的配送覆盖情况。</w:t>
      </w:r>
    </w:p>
    <w:p>
      <w:pPr>
        <w:ind w:left="432"/>
      </w:pPr>
      <w:r>
        <w:drawing>
          <wp:inline distT="0" distB="0" distL="0" distR="0">
            <wp:extent cx="5274310" cy="204216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32"/>
        <w:rPr>
          <w:rFonts w:hint="eastAsia"/>
        </w:rPr>
      </w:pPr>
    </w:p>
    <w:p>
      <w:pPr>
        <w:ind w:firstLine="525" w:firstLineChars="250"/>
      </w:pPr>
      <w:r>
        <w:rPr>
          <w:rFonts w:hint="eastAsia"/>
          <w:b/>
        </w:rPr>
        <w:t>3，批量选择和批量取消配送区域</w:t>
      </w:r>
    </w:p>
    <w:p>
      <w:pPr>
        <w:spacing w:line="312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 w:ascii="宋体" w:hAnsi="宋体"/>
          <w:szCs w:val="21"/>
        </w:rPr>
        <w:t>界面里还提供了批量选择配送区域和批量取消配送区域的功能。 在配送列表前勾选部分或者全部配送区域，点击列表下方的“批量选择”或者“批量取消”按键，达到批量处理的效果。</w:t>
      </w:r>
    </w:p>
    <w:p>
      <w:pPr>
        <w:ind w:left="432"/>
      </w:pPr>
      <w:r>
        <w:drawing>
          <wp:inline distT="0" distB="0" distL="0" distR="0">
            <wp:extent cx="5274310" cy="26562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32"/>
        <w:rPr>
          <w:rFonts w:hint="eastAsia"/>
        </w:rPr>
      </w:pPr>
    </w:p>
    <w:p>
      <w:pPr>
        <w:ind w:firstLine="315" w:firstLineChars="150"/>
        <w:rPr>
          <w:b/>
        </w:rPr>
      </w:pPr>
      <w:r>
        <w:rPr>
          <w:rFonts w:hint="eastAsia"/>
          <w:b/>
        </w:rPr>
        <w:t>4，县以上医疗机构配送日志</w:t>
      </w:r>
    </w:p>
    <w:p>
      <w:pPr>
        <w:spacing w:line="312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1）在“</w:t>
      </w:r>
      <w:r>
        <w:rPr>
          <w:rFonts w:ascii="宋体" w:hAnsi="宋体"/>
          <w:szCs w:val="21"/>
        </w:rPr>
        <w:t>县以上医疗机构配送覆盖情况</w:t>
      </w:r>
      <w:r>
        <w:rPr>
          <w:rFonts w:hint="eastAsia" w:ascii="宋体" w:hAnsi="宋体"/>
          <w:szCs w:val="21"/>
        </w:rPr>
        <w:t>”列里还可以查看县以上配送</w:t>
      </w:r>
      <w:r>
        <w:rPr>
          <w:rFonts w:ascii="宋体" w:hAnsi="宋体"/>
          <w:szCs w:val="21"/>
        </w:rPr>
        <w:t>区域</w:t>
      </w:r>
      <w:r>
        <w:rPr>
          <w:rFonts w:hint="eastAsia" w:ascii="宋体" w:hAnsi="宋体"/>
          <w:szCs w:val="21"/>
        </w:rPr>
        <w:t>的配送日志，点击“日志”进入配送区域日志列表查看</w:t>
      </w:r>
      <w:r>
        <w:rPr>
          <w:rFonts w:ascii="宋体" w:hAnsi="宋体"/>
          <w:szCs w:val="21"/>
        </w:rPr>
        <w:t>配送</w:t>
      </w:r>
      <w:r>
        <w:rPr>
          <w:rFonts w:hint="eastAsia" w:ascii="宋体" w:hAnsi="宋体"/>
          <w:szCs w:val="21"/>
        </w:rPr>
        <w:t>区域操作</w:t>
      </w:r>
      <w:r>
        <w:rPr>
          <w:rFonts w:ascii="宋体" w:hAnsi="宋体"/>
          <w:szCs w:val="21"/>
        </w:rPr>
        <w:t>详情</w:t>
      </w:r>
      <w:r>
        <w:rPr>
          <w:rFonts w:hint="eastAsia" w:ascii="宋体" w:hAnsi="宋体"/>
          <w:szCs w:val="21"/>
        </w:rPr>
        <w:t>。</w:t>
      </w:r>
    </w:p>
    <w:p>
      <w:pPr>
        <w:spacing w:line="312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）在配送区域日志列表里，可以根据操作账号、区域名称、操作时间查询日志。配送会员选择一个区域，如选择“韶关市”，点击查看韶关市的配送日志，进入到日志页面时，界面显示的都是韶关的配送日志。如果查询条件为空，点“查询”，查询到的就是该配送会员所有的区域的配送日志。</w:t>
      </w:r>
    </w:p>
    <w:p>
      <w:pPr>
        <w:spacing w:line="312" w:lineRule="auto"/>
        <w:rPr>
          <w:rFonts w:ascii="宋体" w:hAnsi="宋体"/>
          <w:szCs w:val="21"/>
        </w:rPr>
      </w:pPr>
    </w:p>
    <w:p>
      <w:pPr>
        <w:spacing w:line="312" w:lineRule="auto"/>
        <w:ind w:firstLine="630" w:firstLineChars="300"/>
        <w:rPr>
          <w:rFonts w:ascii="宋体" w:hAnsi="宋体"/>
          <w:szCs w:val="21"/>
        </w:rPr>
      </w:pPr>
      <w:r>
        <w:drawing>
          <wp:inline distT="0" distB="0" distL="0" distR="0">
            <wp:extent cx="5274310" cy="198374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315" w:firstLineChars="15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5，配送基层医疗机构</w:t>
      </w:r>
    </w:p>
    <w:p>
      <w:pPr>
        <w:spacing w:line="312" w:lineRule="auto"/>
        <w:ind w:firstLine="525" w:firstLineChars="2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配送区域列表里有一个“配送基层医疗机构”列，在该列可以进行“进入”和“选择全部/取消全部”的操作。</w:t>
      </w:r>
    </w:p>
    <w:p>
      <w:pPr>
        <w:spacing w:line="312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）点“选择全部/取消全部”，在“基层</w:t>
      </w:r>
      <w:r>
        <w:rPr>
          <w:rFonts w:ascii="宋体" w:hAnsi="宋体"/>
          <w:szCs w:val="21"/>
        </w:rPr>
        <w:t>医疗机构覆盖情况</w:t>
      </w:r>
      <w:r>
        <w:rPr>
          <w:rFonts w:hint="eastAsia" w:ascii="宋体" w:hAnsi="宋体"/>
          <w:szCs w:val="21"/>
        </w:rPr>
        <w:t>”列里就会显示相应的全覆盖或者全未覆盖的情况，如5/5或者0/5。</w:t>
      </w:r>
    </w:p>
    <w:p>
      <w:pPr>
        <w:spacing w:line="312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）点“进入”，系统界面转入到基层医疗机构配送区域管理界面，该界面的功能操作和县以上医疗机构配送区域管理类似，在“操作”列可以选择/取消区域的配送，在“状态”列就会显示相应的已配送/未配送状态。可以查看区域的配送日志。可以对区域进行批量的“选择配送”或“取消配送”。</w:t>
      </w:r>
    </w:p>
    <w:p>
      <w:pPr>
        <w:spacing w:line="312" w:lineRule="auto"/>
        <w:rPr>
          <w:rFonts w:ascii="宋体" w:hAnsi="宋体"/>
          <w:szCs w:val="21"/>
        </w:rPr>
      </w:pPr>
    </w:p>
    <w:p>
      <w:pPr>
        <w:spacing w:line="312" w:lineRule="auto"/>
        <w:ind w:firstLine="630" w:firstLineChars="300"/>
        <w:rPr>
          <w:rFonts w:ascii="宋体" w:hAnsi="宋体"/>
          <w:b/>
          <w:sz w:val="24"/>
          <w:szCs w:val="24"/>
        </w:rPr>
      </w:pPr>
      <w:r>
        <w:drawing>
          <wp:inline distT="0" distB="0" distL="0" distR="0">
            <wp:extent cx="5274310" cy="174434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5"/>
        <w:numPr>
          <w:ilvl w:val="0"/>
          <w:numId w:val="1"/>
        </w:numPr>
        <w:ind w:firstLineChars="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县级以上医疗机构（耗材）配送协议</w:t>
      </w:r>
    </w:p>
    <w:p>
      <w:pPr>
        <w:pStyle w:val="5"/>
        <w:ind w:left="432" w:firstLine="0" w:firstLineChars="0"/>
        <w:rPr>
          <w:rFonts w:hint="eastAsia"/>
          <w:b/>
          <w:sz w:val="28"/>
          <w:szCs w:val="28"/>
        </w:rPr>
      </w:pPr>
    </w:p>
    <w:p>
      <w:pPr>
        <w:pStyle w:val="5"/>
        <w:numPr>
          <w:ilvl w:val="0"/>
          <w:numId w:val="5"/>
        </w:numPr>
        <w:ind w:firstLineChars="0"/>
        <w:rPr>
          <w:b/>
        </w:rPr>
      </w:pPr>
      <w:r>
        <w:rPr>
          <w:rFonts w:hint="eastAsia"/>
          <w:b/>
        </w:rPr>
        <w:t>确认协议</w:t>
      </w:r>
    </w:p>
    <w:p>
      <w:pPr>
        <w:pStyle w:val="7"/>
        <w:spacing w:line="570" w:lineRule="atLeast"/>
        <w:ind w:left="792" w:firstLine="0"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1）确认协议，展开“配送协议管理”，点击“县级以上医疗机构（耗材）”进入配送协议页面，需要确认的配送协议，点击“确认协议”或者选中协议再点击“批量确认协议”，确认协议后，协议状态变成“生效”，如图</w:t>
      </w:r>
    </w:p>
    <w:p>
      <w:pPr>
        <w:pStyle w:val="7"/>
        <w:spacing w:line="570" w:lineRule="atLeast"/>
        <w:ind w:left="840" w:firstLine="0" w:firstLineChars="0"/>
        <w:rPr>
          <w:rFonts w:ascii="仿宋_GB2312" w:hAnsi="宋体" w:eastAsia="仿宋_GB2312"/>
          <w:sz w:val="24"/>
          <w:szCs w:val="24"/>
        </w:rPr>
      </w:pPr>
      <w:r>
        <w:rPr>
          <w:rFonts w:ascii="仿宋_GB2312" w:hAnsi="宋体" w:eastAsia="仿宋_GB2312"/>
          <w:sz w:val="24"/>
          <w:szCs w:val="24"/>
        </w:rPr>
        <w:drawing>
          <wp:inline distT="0" distB="0" distL="0" distR="0">
            <wp:extent cx="5274310" cy="2512695"/>
            <wp:effectExtent l="0" t="0" r="254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line="570" w:lineRule="atLeast"/>
        <w:ind w:left="792" w:firstLine="0" w:firstLineChars="0"/>
        <w:rPr>
          <w:rFonts w:ascii="仿宋_GB2312" w:hAnsi="宋体" w:eastAsia="仿宋_GB2312"/>
          <w:sz w:val="24"/>
          <w:szCs w:val="24"/>
        </w:rPr>
      </w:pPr>
      <w:r>
        <w:rPr>
          <w:rFonts w:hint="eastAsia" w:ascii="仿宋_GB2312" w:hAnsi="宋体" w:eastAsia="仿宋_GB2312"/>
          <w:sz w:val="24"/>
          <w:szCs w:val="24"/>
        </w:rPr>
        <w:t>（</w:t>
      </w:r>
      <w:r>
        <w:rPr>
          <w:rFonts w:hint="eastAsia" w:ascii="宋体" w:hAnsi="宋体"/>
          <w:szCs w:val="21"/>
        </w:rPr>
        <w:t>2）部分确认协议，展开“配送协议管理”，点击“县级以上医疗机构（耗材）”进入配送协议页面，点击“部分确认协议”，自行选择卖方设置的配送区域，点击“确认协议”，并且协议状态变成“生效”。如图</w:t>
      </w:r>
      <w:r>
        <w:rPr>
          <w:rFonts w:ascii="宋体" w:hAnsi="宋体"/>
          <w:szCs w:val="21"/>
        </w:rPr>
        <w:br w:type="textWrapping"/>
      </w:r>
      <w:r>
        <w:rPr>
          <w:rFonts w:ascii="仿宋_GB2312" w:hAnsi="宋体" w:eastAsia="仿宋_GB2312"/>
          <w:sz w:val="24"/>
          <w:szCs w:val="24"/>
        </w:rPr>
        <w:drawing>
          <wp:inline distT="0" distB="0" distL="0" distR="0">
            <wp:extent cx="5274310" cy="2512695"/>
            <wp:effectExtent l="0" t="0" r="2540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line="570" w:lineRule="atLeast"/>
        <w:ind w:left="840" w:firstLine="0" w:firstLineChars="0"/>
        <w:rPr>
          <w:rFonts w:ascii="仿宋_GB2312" w:hAnsi="宋体" w:eastAsia="仿宋_GB2312"/>
          <w:sz w:val="24"/>
          <w:szCs w:val="24"/>
        </w:rPr>
      </w:pPr>
      <w:r>
        <w:rPr>
          <w:rFonts w:ascii="仿宋_GB2312" w:hAnsi="宋体" w:eastAsia="仿宋_GB2312"/>
          <w:sz w:val="24"/>
          <w:szCs w:val="24"/>
        </w:rPr>
        <w:drawing>
          <wp:inline distT="0" distB="0" distL="0" distR="0">
            <wp:extent cx="5274310" cy="2512695"/>
            <wp:effectExtent l="0" t="0" r="254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32"/>
        <w:rPr>
          <w:b/>
        </w:rPr>
      </w:pPr>
    </w:p>
    <w:p>
      <w:pPr>
        <w:ind w:left="432"/>
        <w:rPr>
          <w:b/>
        </w:rPr>
      </w:pPr>
    </w:p>
    <w:p>
      <w:pPr>
        <w:ind w:left="432"/>
        <w:rPr>
          <w:b/>
        </w:rPr>
      </w:pPr>
      <w:r>
        <w:rPr>
          <w:b/>
        </w:rPr>
        <w:t>2</w:t>
      </w:r>
      <w:r>
        <w:rPr>
          <w:rFonts w:hint="eastAsia"/>
          <w:b/>
        </w:rPr>
        <w:t>，拒绝协议</w:t>
      </w:r>
    </w:p>
    <w:p>
      <w:pPr>
        <w:pStyle w:val="7"/>
        <w:numPr>
          <w:ilvl w:val="0"/>
          <w:numId w:val="6"/>
        </w:numPr>
        <w:ind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展开“配送协议管理”，点击“县级以上医疗机构（耗材）”进入配送协议页面，点击“拒绝协议”。如图</w:t>
      </w:r>
    </w:p>
    <w:p>
      <w:pPr>
        <w:ind w:left="432"/>
      </w:pPr>
      <w:r>
        <w:rPr>
          <w:sz w:val="28"/>
          <w:szCs w:val="28"/>
        </w:rPr>
        <w:drawing>
          <wp:inline distT="0" distB="0" distL="0" distR="0">
            <wp:extent cx="5274310" cy="2512695"/>
            <wp:effectExtent l="0" t="0" r="254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32"/>
      </w:pPr>
    </w:p>
    <w:p>
      <w:pPr>
        <w:pStyle w:val="7"/>
        <w:numPr>
          <w:ilvl w:val="0"/>
          <w:numId w:val="7"/>
        </w:numPr>
        <w:ind w:firstLineChars="0"/>
        <w:rPr>
          <w:b/>
        </w:rPr>
      </w:pPr>
      <w:r>
        <w:rPr>
          <w:rFonts w:hint="eastAsia"/>
          <w:b/>
        </w:rPr>
        <w:t>同意增区域协议</w:t>
      </w:r>
    </w:p>
    <w:p>
      <w:pPr>
        <w:pStyle w:val="7"/>
        <w:spacing w:line="570" w:lineRule="atLeast"/>
        <w:ind w:left="360" w:firstLine="0"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展开“配送协议管理”，点击“县级以上医疗机构（耗材）”进入配送协议页面，选择“同意”或者 “部分确认协议”，点击“同意”，协议配送区域会改变为最新的，协议状态会变为“生效”；点击“部分确认协议”，自行选择生产企业设置的配送区域，点击“确认协议”，协议状态变成“生效”。如图</w:t>
      </w:r>
    </w:p>
    <w:p>
      <w:pPr>
        <w:pStyle w:val="7"/>
        <w:spacing w:line="570" w:lineRule="atLeast"/>
        <w:ind w:left="840" w:firstLine="0" w:firstLineChars="0"/>
        <w:rPr>
          <w:rFonts w:ascii="仿宋_GB2312" w:hAnsi="宋体" w:eastAsia="仿宋_GB2312"/>
          <w:sz w:val="24"/>
          <w:szCs w:val="24"/>
        </w:rPr>
      </w:pPr>
      <w:r>
        <w:rPr>
          <w:rFonts w:ascii="仿宋_GB2312" w:hAnsi="宋体" w:eastAsia="仿宋_GB2312"/>
          <w:sz w:val="24"/>
          <w:szCs w:val="24"/>
        </w:rPr>
        <w:drawing>
          <wp:inline distT="0" distB="0" distL="0" distR="0">
            <wp:extent cx="5274310" cy="2512695"/>
            <wp:effectExtent l="0" t="0" r="254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line="570" w:lineRule="atLeast"/>
        <w:ind w:left="840" w:firstLine="0" w:firstLineChars="0"/>
        <w:rPr>
          <w:rFonts w:ascii="仿宋_GB2312" w:hAnsi="宋体" w:eastAsia="仿宋_GB2312"/>
          <w:sz w:val="24"/>
          <w:szCs w:val="24"/>
        </w:rPr>
      </w:pPr>
      <w:r>
        <w:rPr>
          <w:rFonts w:ascii="仿宋_GB2312" w:hAnsi="宋体" w:eastAsia="仿宋_GB2312"/>
          <w:sz w:val="24"/>
          <w:szCs w:val="24"/>
        </w:rPr>
        <w:drawing>
          <wp:inline distT="0" distB="0" distL="0" distR="0">
            <wp:extent cx="5274310" cy="2512695"/>
            <wp:effectExtent l="0" t="0" r="254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360" w:firstLine="0" w:firstLineChars="0"/>
      </w:pPr>
    </w:p>
    <w:p>
      <w:pPr>
        <w:pStyle w:val="7"/>
        <w:numPr>
          <w:ilvl w:val="0"/>
          <w:numId w:val="7"/>
        </w:numPr>
        <w:ind w:firstLineChars="0"/>
        <w:rPr>
          <w:b/>
        </w:rPr>
      </w:pPr>
      <w:r>
        <w:rPr>
          <w:rFonts w:hint="eastAsia"/>
          <w:b/>
        </w:rPr>
        <w:t>拒绝增区域协议</w:t>
      </w:r>
    </w:p>
    <w:p>
      <w:pPr>
        <w:pStyle w:val="7"/>
        <w:spacing w:line="570" w:lineRule="atLeast"/>
        <w:ind w:left="360" w:firstLine="0"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展开“配送协议管理”，点击“县级以上医疗机构（耗材）”进入配送协议页面，选择“拒绝”。如图</w:t>
      </w:r>
    </w:p>
    <w:p>
      <w:pPr>
        <w:spacing w:line="570" w:lineRule="atLeast"/>
        <w:ind w:left="420"/>
        <w:rPr>
          <w:rFonts w:ascii="仿宋_GB2312" w:hAnsi="宋体" w:eastAsia="仿宋_GB2312"/>
          <w:sz w:val="24"/>
          <w:szCs w:val="24"/>
        </w:rPr>
      </w:pPr>
      <w:r>
        <w:rPr>
          <w:rFonts w:ascii="仿宋_GB2312" w:hAnsi="宋体" w:eastAsia="仿宋_GB2312"/>
          <w:sz w:val="24"/>
          <w:szCs w:val="24"/>
        </w:rPr>
        <w:drawing>
          <wp:inline distT="0" distB="0" distL="0" distR="0">
            <wp:extent cx="5274310" cy="2512695"/>
            <wp:effectExtent l="0" t="0" r="2540" b="19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360" w:firstLine="0" w:firstLineChars="0"/>
      </w:pPr>
    </w:p>
    <w:p>
      <w:pPr>
        <w:pStyle w:val="5"/>
        <w:numPr>
          <w:ilvl w:val="0"/>
          <w:numId w:val="1"/>
        </w:numPr>
        <w:ind w:firstLineChars="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基层医疗机构（耗材）配送协议</w:t>
      </w:r>
    </w:p>
    <w:p>
      <w:pPr>
        <w:pStyle w:val="7"/>
        <w:numPr>
          <w:ilvl w:val="0"/>
          <w:numId w:val="8"/>
        </w:numPr>
        <w:ind w:firstLineChars="0"/>
        <w:rPr>
          <w:b/>
        </w:rPr>
      </w:pPr>
      <w:r>
        <w:rPr>
          <w:rFonts w:hint="eastAsia"/>
          <w:b/>
        </w:rPr>
        <w:t>确认协议</w:t>
      </w:r>
    </w:p>
    <w:p>
      <w:pPr>
        <w:pStyle w:val="7"/>
        <w:spacing w:line="570" w:lineRule="atLeast"/>
        <w:ind w:left="360" w:firstLine="0"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（1）确认协议，展开“配送协议管理”，点击“基层医疗机构（耗材）”进入配送协议页面，需要确</w:t>
      </w:r>
      <w:r>
        <w:rPr>
          <w:rFonts w:hint="eastAsia"/>
        </w:rPr>
        <w:t>认的配送协议，点击“确认协议”或者选中协议再点击“批量确认协议”，确认协议后，协议状态变成“生效”，如图</w:t>
      </w:r>
    </w:p>
    <w:p>
      <w:pPr>
        <w:pStyle w:val="7"/>
        <w:spacing w:line="570" w:lineRule="atLeast"/>
        <w:ind w:left="840" w:firstLine="0" w:firstLineChars="0"/>
        <w:rPr>
          <w:rFonts w:ascii="仿宋_GB2312" w:hAnsi="宋体" w:eastAsia="仿宋_GB2312"/>
          <w:sz w:val="24"/>
          <w:szCs w:val="24"/>
        </w:rPr>
      </w:pPr>
      <w:r>
        <w:rPr>
          <w:rFonts w:ascii="仿宋_GB2312" w:hAnsi="宋体" w:eastAsia="仿宋_GB2312"/>
          <w:sz w:val="24"/>
          <w:szCs w:val="24"/>
        </w:rPr>
        <w:drawing>
          <wp:inline distT="0" distB="0" distL="0" distR="0">
            <wp:extent cx="5274310" cy="2512695"/>
            <wp:effectExtent l="0" t="0" r="2540" b="19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line="570" w:lineRule="atLeast"/>
        <w:ind w:left="360" w:firstLine="0" w:firstLineChars="0"/>
      </w:pPr>
      <w:r>
        <w:rPr>
          <w:rFonts w:hint="eastAsia"/>
        </w:rPr>
        <w:t>（2）部分确认协议，展开“配送协议管理”，点击“基层医疗机构（耗材）”进入配送协议页面，点击“部分确认协议”，自行选择卖方设置的配送区域，点击“确认协议”，并且协议状态变成“生效”。如图</w:t>
      </w:r>
      <w:r>
        <w:rPr>
          <w:rFonts w:ascii="仿宋_GB2312" w:hAnsi="宋体" w:eastAsia="仿宋_GB2312"/>
          <w:sz w:val="24"/>
          <w:szCs w:val="24"/>
        </w:rPr>
        <w:br w:type="textWrapping"/>
      </w:r>
      <w:r>
        <w:rPr>
          <w:rFonts w:hint="eastAsia"/>
        </w:rPr>
        <w:t xml:space="preserve"> </w:t>
      </w:r>
      <w:r>
        <w:t xml:space="preserve">     </w:t>
      </w:r>
      <w:r>
        <w:rPr>
          <w:rFonts w:ascii="仿宋_GB2312" w:hAnsi="宋体" w:eastAsia="仿宋_GB2312"/>
          <w:sz w:val="24"/>
          <w:szCs w:val="24"/>
        </w:rPr>
        <w:drawing>
          <wp:inline distT="0" distB="0" distL="0" distR="0">
            <wp:extent cx="5245100" cy="249872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6829" cy="24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line="570" w:lineRule="atLeast"/>
        <w:ind w:left="840" w:firstLine="0" w:firstLineChars="0"/>
        <w:rPr>
          <w:rFonts w:ascii="仿宋_GB2312" w:hAnsi="宋体" w:eastAsia="仿宋_GB2312"/>
          <w:sz w:val="24"/>
          <w:szCs w:val="24"/>
        </w:rPr>
      </w:pPr>
      <w:r>
        <w:rPr>
          <w:rFonts w:ascii="仿宋_GB2312" w:hAnsi="宋体" w:eastAsia="仿宋_GB2312"/>
          <w:sz w:val="24"/>
          <w:szCs w:val="24"/>
        </w:rPr>
        <w:drawing>
          <wp:inline distT="0" distB="0" distL="0" distR="0">
            <wp:extent cx="5274310" cy="2512695"/>
            <wp:effectExtent l="0" t="0" r="2540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360" w:firstLine="0" w:firstLineChars="0"/>
      </w:pPr>
    </w:p>
    <w:p>
      <w:pPr>
        <w:pStyle w:val="7"/>
        <w:numPr>
          <w:ilvl w:val="0"/>
          <w:numId w:val="8"/>
        </w:numPr>
        <w:ind w:firstLineChars="0"/>
        <w:rPr>
          <w:b/>
        </w:rPr>
      </w:pPr>
      <w:r>
        <w:rPr>
          <w:rFonts w:hint="eastAsia"/>
          <w:b/>
        </w:rPr>
        <w:t>拒绝协议</w:t>
      </w:r>
    </w:p>
    <w:p>
      <w:pPr>
        <w:pStyle w:val="7"/>
        <w:ind w:left="360" w:firstLine="210" w:firstLineChars="100"/>
      </w:pPr>
      <w:r>
        <w:rPr>
          <w:rFonts w:hint="eastAsia"/>
        </w:rPr>
        <w:t>（1）展开“配送协议管理”，点击“基层医疗机构（耗材）”进入配送协议页面，点击“拒绝协议”。如图</w:t>
      </w:r>
    </w:p>
    <w:p>
      <w:pPr>
        <w:ind w:left="420" w:firstLine="42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512695"/>
            <wp:effectExtent l="0" t="0" r="2540" b="190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360" w:firstLine="0" w:firstLineChars="0"/>
        <w:rPr>
          <w:b/>
        </w:rPr>
      </w:pPr>
    </w:p>
    <w:p>
      <w:pPr>
        <w:pStyle w:val="7"/>
        <w:numPr>
          <w:ilvl w:val="0"/>
          <w:numId w:val="8"/>
        </w:numPr>
        <w:ind w:firstLineChars="0"/>
        <w:rPr>
          <w:b/>
        </w:rPr>
      </w:pPr>
      <w:r>
        <w:rPr>
          <w:rFonts w:hint="eastAsia"/>
          <w:b/>
        </w:rPr>
        <w:t>同意增减区域协议</w:t>
      </w:r>
    </w:p>
    <w:p>
      <w:pPr>
        <w:spacing w:line="312" w:lineRule="auto"/>
        <w:ind w:firstLine="630" w:firstLineChars="300"/>
      </w:pPr>
      <w:r>
        <w:rPr>
          <w:rFonts w:hint="eastAsia" w:ascii="宋体" w:hAnsi="宋体"/>
          <w:szCs w:val="21"/>
        </w:rPr>
        <w:t>（</w:t>
      </w:r>
      <w:r>
        <w:rPr>
          <w:rFonts w:hint="eastAsia"/>
        </w:rPr>
        <w:t>1）展开“配送协议管理”，点击“基层医疗机构（耗材）”进入配送协议页面，选择“同意”或者 “部分确认协议”，点击“同意”，协议配送区域会改变为最新的，协议状态会变为“生效”；点击“部分确认协议”，自行选择生产企业设置的配送区域，点击“确认协议”，协议状态变成“生效”。如图</w:t>
      </w:r>
    </w:p>
    <w:p>
      <w:pPr>
        <w:pStyle w:val="7"/>
        <w:spacing w:line="570" w:lineRule="atLeast"/>
        <w:ind w:left="840" w:firstLine="0" w:firstLineChars="0"/>
        <w:rPr>
          <w:rFonts w:ascii="仿宋_GB2312" w:hAnsi="宋体" w:eastAsia="仿宋_GB2312"/>
          <w:sz w:val="24"/>
          <w:szCs w:val="24"/>
        </w:rPr>
      </w:pPr>
      <w:r>
        <w:rPr>
          <w:rFonts w:ascii="仿宋_GB2312" w:hAnsi="宋体" w:eastAsia="仿宋_GB2312"/>
          <w:sz w:val="24"/>
          <w:szCs w:val="24"/>
        </w:rPr>
        <w:drawing>
          <wp:inline distT="0" distB="0" distL="0" distR="0">
            <wp:extent cx="5274310" cy="2512695"/>
            <wp:effectExtent l="0" t="0" r="2540" b="190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line="570" w:lineRule="atLeast"/>
        <w:ind w:left="840" w:firstLine="0" w:firstLineChars="0"/>
        <w:rPr>
          <w:rFonts w:ascii="仿宋_GB2312" w:hAnsi="宋体" w:eastAsia="仿宋_GB2312"/>
          <w:sz w:val="24"/>
          <w:szCs w:val="24"/>
        </w:rPr>
      </w:pPr>
      <w:r>
        <w:rPr>
          <w:rFonts w:ascii="仿宋_GB2312" w:hAnsi="宋体" w:eastAsia="仿宋_GB2312"/>
          <w:sz w:val="24"/>
          <w:szCs w:val="24"/>
        </w:rPr>
        <w:drawing>
          <wp:inline distT="0" distB="0" distL="0" distR="0">
            <wp:extent cx="5274310" cy="2512695"/>
            <wp:effectExtent l="0" t="0" r="2540" b="19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360" w:firstLine="0" w:firstLineChars="0"/>
      </w:pPr>
    </w:p>
    <w:p>
      <w:pPr>
        <w:pStyle w:val="7"/>
        <w:numPr>
          <w:ilvl w:val="0"/>
          <w:numId w:val="8"/>
        </w:numPr>
        <w:ind w:firstLineChars="0"/>
        <w:rPr>
          <w:b/>
        </w:rPr>
      </w:pPr>
      <w:r>
        <w:rPr>
          <w:rFonts w:hint="eastAsia"/>
          <w:b/>
        </w:rPr>
        <w:t>拒绝增减区域协议</w:t>
      </w:r>
    </w:p>
    <w:p>
      <w:pPr>
        <w:pStyle w:val="7"/>
        <w:spacing w:line="570" w:lineRule="atLeast"/>
        <w:ind w:left="360" w:firstLine="105" w:firstLineChars="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（1）展开“配送协议管理”，点击“基层医疗机构（耗材）”进入配送协议页面，选择“拒绝”。如图</w:t>
      </w:r>
    </w:p>
    <w:p>
      <w:pPr>
        <w:ind w:left="420" w:firstLine="420"/>
      </w:pPr>
      <w:r>
        <w:drawing>
          <wp:inline distT="0" distB="0" distL="0" distR="0">
            <wp:extent cx="5274310" cy="2512695"/>
            <wp:effectExtent l="0" t="0" r="2540" b="19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5"/>
        <w:numPr>
          <w:ilvl w:val="0"/>
          <w:numId w:val="1"/>
        </w:numPr>
        <w:ind w:firstLineChars="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合同管理</w:t>
      </w:r>
    </w:p>
    <w:p>
      <w:pPr>
        <w:pStyle w:val="7"/>
        <w:numPr>
          <w:ilvl w:val="0"/>
          <w:numId w:val="9"/>
        </w:numPr>
        <w:ind w:firstLineChars="0"/>
        <w:rPr>
          <w:b/>
        </w:rPr>
      </w:pPr>
      <w:r>
        <w:rPr>
          <w:rFonts w:hint="eastAsia"/>
          <w:b/>
        </w:rPr>
        <w:t>耗材合同列表</w:t>
      </w:r>
    </w:p>
    <w:p>
      <w:pPr>
        <w:pStyle w:val="7"/>
        <w:spacing w:line="570" w:lineRule="atLeast"/>
        <w:ind w:left="360" w:firstLine="105" w:firstLineChars="5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展开合同列表</w:t>
      </w:r>
      <w:r>
        <w:rPr>
          <w:rFonts w:ascii="宋体" w:hAnsi="宋体"/>
          <w:szCs w:val="21"/>
        </w:rPr>
        <w:t>—</w:t>
      </w:r>
      <w:r>
        <w:rPr>
          <w:rFonts w:hint="eastAsia" w:ascii="宋体" w:hAnsi="宋体"/>
          <w:szCs w:val="21"/>
        </w:rPr>
        <w:t>耗材合同列表，点击查询可查询所有合同，如需操作可点击操作一栏的可选择按钮进行签章或者查看的操作。</w:t>
      </w:r>
    </w:p>
    <w:p>
      <w:pPr>
        <w:pStyle w:val="7"/>
        <w:ind w:left="780" w:firstLine="0" w:firstLineChars="0"/>
        <w:rPr>
          <w:b/>
        </w:rPr>
      </w:pPr>
      <w:r>
        <w:drawing>
          <wp:inline distT="0" distB="0" distL="0" distR="0">
            <wp:extent cx="5274310" cy="165163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9"/>
        </w:numPr>
        <w:ind w:firstLineChars="0"/>
        <w:rPr>
          <w:b/>
        </w:rPr>
      </w:pPr>
      <w:r>
        <w:rPr>
          <w:rFonts w:hint="eastAsia"/>
          <w:b/>
        </w:rPr>
        <w:t>耗材合同明细列表</w:t>
      </w:r>
    </w:p>
    <w:p>
      <w:pPr>
        <w:pStyle w:val="7"/>
        <w:spacing w:line="570" w:lineRule="atLeast"/>
        <w:ind w:left="360" w:firstLine="0" w:firstLineChars="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展开合同明细列表—耗材合同明细列表，可导出所有合同或查看合同明细。</w:t>
      </w:r>
    </w:p>
    <w:p>
      <w:pPr>
        <w:pStyle w:val="7"/>
        <w:ind w:left="780" w:firstLine="0" w:firstLineChars="0"/>
        <w:rPr>
          <w:b/>
        </w:rPr>
      </w:pPr>
      <w:r>
        <w:drawing>
          <wp:inline distT="0" distB="0" distL="0" distR="0">
            <wp:extent cx="5274310" cy="190881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780" w:firstLine="0" w:firstLineChars="0"/>
        <w:rPr>
          <w:rFonts w:hint="eastAsia"/>
          <w:b/>
        </w:rPr>
      </w:pPr>
    </w:p>
    <w:p>
      <w:pPr>
        <w:pStyle w:val="5"/>
        <w:numPr>
          <w:ilvl w:val="0"/>
          <w:numId w:val="1"/>
        </w:numPr>
        <w:ind w:firstLineChars="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订单管理</w:t>
      </w:r>
    </w:p>
    <w:p>
      <w:pPr>
        <w:pStyle w:val="7"/>
        <w:numPr>
          <w:ilvl w:val="0"/>
          <w:numId w:val="10"/>
        </w:numPr>
        <w:spacing w:line="312" w:lineRule="auto"/>
        <w:ind w:firstLineChars="0"/>
        <w:rPr>
          <w:rFonts w:hint="eastAsia"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查询订单药品</w:t>
      </w:r>
    </w:p>
    <w:p>
      <w:pPr>
        <w:pStyle w:val="7"/>
        <w:spacing w:line="570" w:lineRule="atLeast"/>
        <w:ind w:left="360" w:firstLine="0" w:firstLineChars="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在响应订单界面，输入产品名、商品名、生产企业、买方会员、卖方会员、订单编号，点击“查询”对订单药品进行组合查询。</w:t>
      </w:r>
    </w:p>
    <w:p>
      <w:pPr>
        <w:pStyle w:val="7"/>
        <w:spacing w:line="570" w:lineRule="atLeast"/>
        <w:ind w:left="360" w:firstLine="0" w:firstLineChars="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inline distT="0" distB="0" distL="0" distR="0">
            <wp:extent cx="5274310" cy="213741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b/>
        </w:rPr>
      </w:pPr>
    </w:p>
    <w:p>
      <w:pPr>
        <w:pStyle w:val="7"/>
        <w:numPr>
          <w:ilvl w:val="0"/>
          <w:numId w:val="10"/>
        </w:numPr>
        <w:ind w:firstLineChars="0"/>
        <w:rPr>
          <w:b/>
        </w:rPr>
      </w:pPr>
      <w:r>
        <w:rPr>
          <w:rFonts w:hint="eastAsia"/>
          <w:b/>
        </w:rPr>
        <w:t>发货管理</w:t>
      </w:r>
    </w:p>
    <w:p>
      <w:pPr>
        <w:pStyle w:val="7"/>
        <w:spacing w:line="570" w:lineRule="atLeast"/>
        <w:ind w:left="360" w:firstLine="0" w:firstLineChars="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在订单管理—发货管理—确认发货（耗材）界面，可把已响应的订单进行创建出库单，勾选需出库的订单，输入批次号，点击创建出库单。</w:t>
      </w:r>
    </w:p>
    <w:p>
      <w:pPr>
        <w:pStyle w:val="7"/>
        <w:ind w:left="360" w:firstLine="0" w:firstLineChars="0"/>
        <w:rPr>
          <w:rFonts w:hint="eastAsia"/>
          <w:b/>
        </w:rPr>
      </w:pPr>
      <w:r>
        <w:drawing>
          <wp:inline distT="0" distB="0" distL="0" distR="0">
            <wp:extent cx="5274310" cy="208153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0"/>
        </w:numPr>
        <w:ind w:firstLineChars="0"/>
        <w:rPr>
          <w:b/>
        </w:rPr>
      </w:pPr>
      <w:r>
        <w:rPr>
          <w:rFonts w:hint="eastAsia"/>
          <w:b/>
        </w:rPr>
        <w:t>选择货票同行（耗材）</w:t>
      </w:r>
    </w:p>
    <w:p>
      <w:pPr>
        <w:pStyle w:val="7"/>
        <w:spacing w:line="570" w:lineRule="atLeast"/>
        <w:ind w:left="360" w:firstLine="0" w:firstLineChars="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在订单管理—发货管理—选择货票同行（耗材）界面，可以按自身需求合并订单开具发票或进行订单拆分开具发票。</w:t>
      </w:r>
    </w:p>
    <w:p>
      <w:pPr>
        <w:pStyle w:val="7"/>
        <w:ind w:left="360" w:firstLine="0" w:firstLineChars="0"/>
        <w:rPr>
          <w:rFonts w:hint="eastAsia"/>
          <w:b/>
        </w:rPr>
      </w:pPr>
      <w:r>
        <w:drawing>
          <wp:inline distT="0" distB="0" distL="0" distR="0">
            <wp:extent cx="5274310" cy="212725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b/>
        </w:rPr>
      </w:pPr>
    </w:p>
    <w:p>
      <w:pPr>
        <w:pStyle w:val="5"/>
        <w:ind w:firstLineChars="0"/>
        <w:rPr>
          <w:rFonts w:hint="eastAsia"/>
          <w:b/>
        </w:rPr>
      </w:pPr>
    </w:p>
    <w:p>
      <w:pPr>
        <w:pStyle w:val="7"/>
        <w:numPr>
          <w:ilvl w:val="0"/>
          <w:numId w:val="10"/>
        </w:numPr>
        <w:ind w:firstLineChars="0"/>
        <w:rPr>
          <w:b/>
        </w:rPr>
      </w:pPr>
      <w:r>
        <w:rPr>
          <w:rFonts w:hint="eastAsia"/>
          <w:b/>
        </w:rPr>
        <w:t>订单明细查询</w:t>
      </w:r>
    </w:p>
    <w:p>
      <w:pPr>
        <w:pStyle w:val="7"/>
        <w:ind w:left="360" w:firstLine="0" w:firstLineChars="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在订单管理—订单明细查询一栏，可输入筛选条件，查询所有订单的状态。</w:t>
      </w:r>
    </w:p>
    <w:p>
      <w:pPr>
        <w:pStyle w:val="7"/>
        <w:ind w:left="360" w:firstLine="0" w:firstLineChars="0"/>
        <w:rPr>
          <w:rFonts w:hint="eastAsia"/>
        </w:rPr>
      </w:pPr>
      <w:r>
        <w:drawing>
          <wp:inline distT="0" distB="0" distL="0" distR="0">
            <wp:extent cx="5274310" cy="1934845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0"/>
        </w:numPr>
        <w:ind w:firstLineChars="0"/>
        <w:rPr>
          <w:b/>
        </w:rPr>
      </w:pPr>
      <w:r>
        <w:rPr>
          <w:rFonts w:hint="eastAsia"/>
          <w:b/>
        </w:rPr>
        <w:t>发货明细查询</w:t>
      </w:r>
    </w:p>
    <w:p>
      <w:pPr>
        <w:pStyle w:val="7"/>
        <w:ind w:left="360" w:firstLine="0" w:firstLineChars="0"/>
      </w:pPr>
      <w:r>
        <w:rPr>
          <w:rFonts w:hint="eastAsia"/>
        </w:rPr>
        <w:t>在订单管理—耗材发货明细查询一栏，可输入筛选条件，查询所有发货明细的状态。</w:t>
      </w:r>
    </w:p>
    <w:p>
      <w:pPr>
        <w:pStyle w:val="7"/>
        <w:ind w:left="360" w:firstLine="0" w:firstLineChars="0"/>
      </w:pPr>
      <w:r>
        <w:drawing>
          <wp:inline distT="0" distB="0" distL="0" distR="0">
            <wp:extent cx="5274310" cy="192595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firstLineChars="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发票管理</w:t>
      </w:r>
    </w:p>
    <w:p>
      <w:pPr>
        <w:pStyle w:val="7"/>
        <w:ind w:left="360" w:firstLine="0" w:firstLineChars="0"/>
      </w:pPr>
    </w:p>
    <w:p>
      <w:pPr>
        <w:pStyle w:val="7"/>
        <w:numPr>
          <w:ilvl w:val="0"/>
          <w:numId w:val="11"/>
        </w:numPr>
        <w:ind w:firstLineChars="0"/>
        <w:rPr>
          <w:rFonts w:ascii="宋体" w:hAnsi="宋体"/>
          <w:b/>
        </w:rPr>
      </w:pPr>
      <w:r>
        <w:rPr>
          <w:rFonts w:hint="eastAsia" w:ascii="宋体" w:hAnsi="宋体"/>
          <w:b/>
        </w:rPr>
        <w:t>查询药品订单</w:t>
      </w:r>
    </w:p>
    <w:p>
      <w:pPr>
        <w:pStyle w:val="7"/>
        <w:ind w:left="360" w:firstLine="0"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在创建发票界面，输入配送订单号、买方会员、药品类别、创建时间，点击“查询”对订单药品进行组合查询。</w:t>
      </w:r>
    </w:p>
    <w:p>
      <w:pPr>
        <w:pStyle w:val="7"/>
        <w:ind w:left="780" w:firstLine="0" w:firstLineChars="0"/>
        <w:rPr>
          <w:rFonts w:hint="eastAsia"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259778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1"/>
        </w:numPr>
        <w:ind w:firstLineChars="0"/>
        <w:rPr>
          <w:rFonts w:ascii="宋体" w:hAnsi="宋体"/>
          <w:b/>
        </w:rPr>
      </w:pPr>
      <w:r>
        <w:rPr>
          <w:rFonts w:hint="eastAsia" w:ascii="宋体" w:hAnsi="宋体"/>
          <w:b/>
        </w:rPr>
        <w:t>创建发票</w:t>
      </w:r>
    </w:p>
    <w:p>
      <w:pPr>
        <w:pStyle w:val="7"/>
        <w:ind w:left="360" w:firstLine="0"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在创建发票界面，勾选药品订单，输入本次支付数量，点击“创建发票”按键创建药品发票，发送给买方会员确认发票。一个订单可以创建多次发票，直到创建发票的药品数量等于收货数量。</w:t>
      </w:r>
    </w:p>
    <w:p>
      <w:pPr>
        <w:pStyle w:val="7"/>
        <w:ind w:left="780" w:firstLine="0" w:firstLineChars="0"/>
        <w:rPr>
          <w:rFonts w:hint="eastAsia"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259778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780" w:firstLine="0" w:firstLineChars="0"/>
        <w:rPr>
          <w:rFonts w:hint="eastAsia" w:ascii="宋体" w:hAnsi="宋体"/>
        </w:rPr>
      </w:pPr>
    </w:p>
    <w:p>
      <w:pPr>
        <w:pStyle w:val="7"/>
        <w:numPr>
          <w:ilvl w:val="0"/>
          <w:numId w:val="11"/>
        </w:numPr>
        <w:ind w:firstLineChars="0"/>
        <w:rPr>
          <w:rFonts w:ascii="宋体" w:hAnsi="宋体"/>
        </w:rPr>
      </w:pPr>
      <w:r>
        <w:rPr>
          <w:rFonts w:hint="eastAsia" w:ascii="宋体" w:hAnsi="宋体"/>
          <w:b/>
          <w:szCs w:val="21"/>
        </w:rPr>
        <w:t>取消与修改发票</w:t>
      </w:r>
    </w:p>
    <w:p>
      <w:pPr>
        <w:pStyle w:val="7"/>
        <w:ind w:left="780" w:firstLine="0" w:firstLineChars="0"/>
        <w:rPr>
          <w:rFonts w:ascii="宋体" w:hAnsi="宋体"/>
        </w:rPr>
      </w:pPr>
      <w:r>
        <w:rPr>
          <w:rFonts w:hint="eastAsia" w:ascii="宋体" w:hAnsi="宋体"/>
        </w:rPr>
        <w:t>在取消与修改发票界面， 配送会员可以根据发票代码、发票号码、创建时间、收发票会员查询到需要取消或修改的发票信息，进行取消或修改操作。</w:t>
      </w:r>
    </w:p>
    <w:p>
      <w:pPr>
        <w:pStyle w:val="7"/>
        <w:ind w:left="780" w:firstLine="0" w:firstLineChars="0"/>
        <w:rPr>
          <w:rFonts w:hint="eastAsia"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259778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780" w:firstLine="0" w:firstLineChars="0"/>
        <w:rPr>
          <w:rFonts w:hint="eastAsia" w:ascii="宋体" w:hAnsi="宋体"/>
        </w:rPr>
      </w:pPr>
    </w:p>
    <w:p>
      <w:pPr>
        <w:ind w:left="420"/>
        <w:rPr>
          <w:rFonts w:ascii="宋体" w:hAnsi="宋体"/>
          <w:color w:val="FF0000"/>
        </w:rPr>
      </w:pPr>
      <w:r>
        <w:rPr>
          <w:rFonts w:hint="eastAsia" w:ascii="宋体" w:hAnsi="宋体"/>
          <w:color w:val="FF0000"/>
        </w:rPr>
        <w:t>注：已经被买方会员确认的发票，不可再进行取消或修改的操作。</w:t>
      </w:r>
    </w:p>
    <w:p>
      <w:pPr>
        <w:ind w:left="420"/>
        <w:rPr>
          <w:rFonts w:hint="eastAsia" w:ascii="宋体" w:hAnsi="宋体"/>
          <w:color w:val="FF0000"/>
        </w:rPr>
      </w:pPr>
    </w:p>
    <w:p>
      <w:pPr>
        <w:pStyle w:val="7"/>
        <w:numPr>
          <w:ilvl w:val="0"/>
          <w:numId w:val="11"/>
        </w:numPr>
        <w:ind w:firstLineChars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发票信息查询</w:t>
      </w:r>
    </w:p>
    <w:p>
      <w:pPr>
        <w:ind w:left="420"/>
        <w:rPr>
          <w:rFonts w:ascii="宋体" w:hAnsi="宋体"/>
        </w:rPr>
      </w:pPr>
      <w:r>
        <w:rPr>
          <w:rFonts w:hint="eastAsia" w:ascii="宋体" w:hAnsi="宋体"/>
        </w:rPr>
        <w:t>在发票信息查询界面，可输入发票代码、发票号码、开发票方会员、收发票方会员、发票金额、创建时间、发票状态等条件，点击“查询”对药品发票进行组合查询。</w:t>
      </w:r>
    </w:p>
    <w:p>
      <w:pPr>
        <w:pStyle w:val="7"/>
        <w:spacing w:line="312" w:lineRule="auto"/>
        <w:ind w:left="780" w:firstLine="0" w:firstLineChars="0"/>
        <w:jc w:val="left"/>
        <w:rPr>
          <w:rFonts w:hint="eastAsia" w:ascii="宋体" w:hAnsi="宋体"/>
        </w:rPr>
      </w:pPr>
      <w:r>
        <w:drawing>
          <wp:inline distT="0" distB="0" distL="0" distR="0">
            <wp:extent cx="5274310" cy="259778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651F9"/>
    <w:multiLevelType w:val="multilevel"/>
    <w:tmpl w:val="16D651F9"/>
    <w:lvl w:ilvl="0" w:tentative="0">
      <w:start w:val="1"/>
      <w:numFmt w:val="decimal"/>
      <w:lvlText w:val="%1)"/>
      <w:lvlJc w:val="left"/>
      <w:pPr>
        <w:ind w:left="840" w:hanging="420"/>
      </w:pPr>
      <w:rPr>
        <w:rFonts w:ascii="仿宋" w:hAnsi="仿宋" w:eastAsia="仿宋"/>
        <w:sz w:val="24"/>
        <w:szCs w:val="24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176C4508"/>
    <w:multiLevelType w:val="multilevel"/>
    <w:tmpl w:val="176C4508"/>
    <w:lvl w:ilvl="0" w:tentative="0">
      <w:start w:val="1"/>
      <w:numFmt w:val="decimal"/>
      <w:lvlText w:val="%1，"/>
      <w:lvlJc w:val="left"/>
      <w:pPr>
        <w:ind w:left="927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07" w:hanging="420"/>
      </w:pPr>
    </w:lvl>
    <w:lvl w:ilvl="2" w:tentative="0">
      <w:start w:val="1"/>
      <w:numFmt w:val="lowerRoman"/>
      <w:lvlText w:val="%3."/>
      <w:lvlJc w:val="right"/>
      <w:pPr>
        <w:ind w:left="1827" w:hanging="420"/>
      </w:pPr>
    </w:lvl>
    <w:lvl w:ilvl="3" w:tentative="0">
      <w:start w:val="1"/>
      <w:numFmt w:val="decimal"/>
      <w:lvlText w:val="%4."/>
      <w:lvlJc w:val="left"/>
      <w:pPr>
        <w:ind w:left="2247" w:hanging="420"/>
      </w:pPr>
    </w:lvl>
    <w:lvl w:ilvl="4" w:tentative="0">
      <w:start w:val="1"/>
      <w:numFmt w:val="lowerLetter"/>
      <w:lvlText w:val="%5)"/>
      <w:lvlJc w:val="left"/>
      <w:pPr>
        <w:ind w:left="2667" w:hanging="420"/>
      </w:pPr>
    </w:lvl>
    <w:lvl w:ilvl="5" w:tentative="0">
      <w:start w:val="1"/>
      <w:numFmt w:val="lowerRoman"/>
      <w:lvlText w:val="%6."/>
      <w:lvlJc w:val="right"/>
      <w:pPr>
        <w:ind w:left="3087" w:hanging="420"/>
      </w:pPr>
    </w:lvl>
    <w:lvl w:ilvl="6" w:tentative="0">
      <w:start w:val="1"/>
      <w:numFmt w:val="decimal"/>
      <w:lvlText w:val="%7."/>
      <w:lvlJc w:val="left"/>
      <w:pPr>
        <w:ind w:left="3507" w:hanging="420"/>
      </w:pPr>
    </w:lvl>
    <w:lvl w:ilvl="7" w:tentative="0">
      <w:start w:val="1"/>
      <w:numFmt w:val="lowerLetter"/>
      <w:lvlText w:val="%8)"/>
      <w:lvlJc w:val="left"/>
      <w:pPr>
        <w:ind w:left="3927" w:hanging="420"/>
      </w:pPr>
    </w:lvl>
    <w:lvl w:ilvl="8" w:tentative="0">
      <w:start w:val="1"/>
      <w:numFmt w:val="lowerRoman"/>
      <w:lvlText w:val="%9."/>
      <w:lvlJc w:val="right"/>
      <w:pPr>
        <w:ind w:left="4347" w:hanging="420"/>
      </w:pPr>
    </w:lvl>
  </w:abstractNum>
  <w:abstractNum w:abstractNumId="2">
    <w:nsid w:val="17C64A18"/>
    <w:multiLevelType w:val="multilevel"/>
    <w:tmpl w:val="17C64A18"/>
    <w:lvl w:ilvl="0" w:tentative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72" w:hanging="420"/>
      </w:pPr>
    </w:lvl>
    <w:lvl w:ilvl="2" w:tentative="0">
      <w:start w:val="1"/>
      <w:numFmt w:val="lowerRoman"/>
      <w:lvlText w:val="%3."/>
      <w:lvlJc w:val="right"/>
      <w:pPr>
        <w:ind w:left="1692" w:hanging="420"/>
      </w:pPr>
    </w:lvl>
    <w:lvl w:ilvl="3" w:tentative="0">
      <w:start w:val="1"/>
      <w:numFmt w:val="decimal"/>
      <w:lvlText w:val="%4."/>
      <w:lvlJc w:val="left"/>
      <w:pPr>
        <w:ind w:left="2112" w:hanging="420"/>
      </w:pPr>
    </w:lvl>
    <w:lvl w:ilvl="4" w:tentative="0">
      <w:start w:val="1"/>
      <w:numFmt w:val="lowerLetter"/>
      <w:lvlText w:val="%5)"/>
      <w:lvlJc w:val="left"/>
      <w:pPr>
        <w:ind w:left="2532" w:hanging="420"/>
      </w:pPr>
    </w:lvl>
    <w:lvl w:ilvl="5" w:tentative="0">
      <w:start w:val="1"/>
      <w:numFmt w:val="lowerRoman"/>
      <w:lvlText w:val="%6."/>
      <w:lvlJc w:val="right"/>
      <w:pPr>
        <w:ind w:left="2952" w:hanging="420"/>
      </w:pPr>
    </w:lvl>
    <w:lvl w:ilvl="6" w:tentative="0">
      <w:start w:val="1"/>
      <w:numFmt w:val="decimal"/>
      <w:lvlText w:val="%7."/>
      <w:lvlJc w:val="left"/>
      <w:pPr>
        <w:ind w:left="3372" w:hanging="420"/>
      </w:pPr>
    </w:lvl>
    <w:lvl w:ilvl="7" w:tentative="0">
      <w:start w:val="1"/>
      <w:numFmt w:val="lowerLetter"/>
      <w:lvlText w:val="%8)"/>
      <w:lvlJc w:val="left"/>
      <w:pPr>
        <w:ind w:left="3792" w:hanging="420"/>
      </w:pPr>
    </w:lvl>
    <w:lvl w:ilvl="8" w:tentative="0">
      <w:start w:val="1"/>
      <w:numFmt w:val="lowerRoman"/>
      <w:lvlText w:val="%9."/>
      <w:lvlJc w:val="right"/>
      <w:pPr>
        <w:ind w:left="4212" w:hanging="420"/>
      </w:pPr>
    </w:lvl>
  </w:abstractNum>
  <w:abstractNum w:abstractNumId="3">
    <w:nsid w:val="1C675CB2"/>
    <w:multiLevelType w:val="multilevel"/>
    <w:tmpl w:val="1C675CB2"/>
    <w:lvl w:ilvl="0" w:tentative="0">
      <w:start w:val="1"/>
      <w:numFmt w:val="decimal"/>
      <w:lvlText w:val="%1，"/>
      <w:lvlJc w:val="left"/>
      <w:pPr>
        <w:ind w:left="927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07" w:hanging="420"/>
      </w:pPr>
    </w:lvl>
    <w:lvl w:ilvl="2" w:tentative="0">
      <w:start w:val="1"/>
      <w:numFmt w:val="lowerRoman"/>
      <w:lvlText w:val="%3."/>
      <w:lvlJc w:val="right"/>
      <w:pPr>
        <w:ind w:left="1827" w:hanging="420"/>
      </w:pPr>
    </w:lvl>
    <w:lvl w:ilvl="3" w:tentative="0">
      <w:start w:val="1"/>
      <w:numFmt w:val="decimal"/>
      <w:lvlText w:val="%4."/>
      <w:lvlJc w:val="left"/>
      <w:pPr>
        <w:ind w:left="2247" w:hanging="420"/>
      </w:pPr>
    </w:lvl>
    <w:lvl w:ilvl="4" w:tentative="0">
      <w:start w:val="1"/>
      <w:numFmt w:val="lowerLetter"/>
      <w:lvlText w:val="%5)"/>
      <w:lvlJc w:val="left"/>
      <w:pPr>
        <w:ind w:left="2667" w:hanging="420"/>
      </w:pPr>
    </w:lvl>
    <w:lvl w:ilvl="5" w:tentative="0">
      <w:start w:val="1"/>
      <w:numFmt w:val="lowerRoman"/>
      <w:lvlText w:val="%6."/>
      <w:lvlJc w:val="right"/>
      <w:pPr>
        <w:ind w:left="3087" w:hanging="420"/>
      </w:pPr>
    </w:lvl>
    <w:lvl w:ilvl="6" w:tentative="0">
      <w:start w:val="1"/>
      <w:numFmt w:val="decimal"/>
      <w:lvlText w:val="%7."/>
      <w:lvlJc w:val="left"/>
      <w:pPr>
        <w:ind w:left="3507" w:hanging="420"/>
      </w:pPr>
    </w:lvl>
    <w:lvl w:ilvl="7" w:tentative="0">
      <w:start w:val="1"/>
      <w:numFmt w:val="lowerLetter"/>
      <w:lvlText w:val="%8)"/>
      <w:lvlJc w:val="left"/>
      <w:pPr>
        <w:ind w:left="3927" w:hanging="420"/>
      </w:pPr>
    </w:lvl>
    <w:lvl w:ilvl="8" w:tentative="0">
      <w:start w:val="1"/>
      <w:numFmt w:val="lowerRoman"/>
      <w:lvlText w:val="%9."/>
      <w:lvlJc w:val="right"/>
      <w:pPr>
        <w:ind w:left="4347" w:hanging="420"/>
      </w:pPr>
    </w:lvl>
  </w:abstractNum>
  <w:abstractNum w:abstractNumId="4">
    <w:nsid w:val="28905EA5"/>
    <w:multiLevelType w:val="multilevel"/>
    <w:tmpl w:val="28905EA5"/>
    <w:lvl w:ilvl="0" w:tentative="0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8B32577"/>
    <w:multiLevelType w:val="multilevel"/>
    <w:tmpl w:val="28B32577"/>
    <w:lvl w:ilvl="0" w:tentative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72" w:hanging="420"/>
      </w:pPr>
    </w:lvl>
    <w:lvl w:ilvl="2" w:tentative="0">
      <w:start w:val="1"/>
      <w:numFmt w:val="lowerRoman"/>
      <w:lvlText w:val="%3."/>
      <w:lvlJc w:val="right"/>
      <w:pPr>
        <w:ind w:left="1692" w:hanging="420"/>
      </w:pPr>
    </w:lvl>
    <w:lvl w:ilvl="3" w:tentative="0">
      <w:start w:val="1"/>
      <w:numFmt w:val="decimal"/>
      <w:lvlText w:val="%4."/>
      <w:lvlJc w:val="left"/>
      <w:pPr>
        <w:ind w:left="2112" w:hanging="420"/>
      </w:pPr>
    </w:lvl>
    <w:lvl w:ilvl="4" w:tentative="0">
      <w:start w:val="1"/>
      <w:numFmt w:val="lowerLetter"/>
      <w:lvlText w:val="%5)"/>
      <w:lvlJc w:val="left"/>
      <w:pPr>
        <w:ind w:left="2532" w:hanging="420"/>
      </w:pPr>
    </w:lvl>
    <w:lvl w:ilvl="5" w:tentative="0">
      <w:start w:val="1"/>
      <w:numFmt w:val="lowerRoman"/>
      <w:lvlText w:val="%6."/>
      <w:lvlJc w:val="right"/>
      <w:pPr>
        <w:ind w:left="2952" w:hanging="420"/>
      </w:pPr>
    </w:lvl>
    <w:lvl w:ilvl="6" w:tentative="0">
      <w:start w:val="1"/>
      <w:numFmt w:val="decimal"/>
      <w:lvlText w:val="%7."/>
      <w:lvlJc w:val="left"/>
      <w:pPr>
        <w:ind w:left="3372" w:hanging="420"/>
      </w:pPr>
    </w:lvl>
    <w:lvl w:ilvl="7" w:tentative="0">
      <w:start w:val="1"/>
      <w:numFmt w:val="lowerLetter"/>
      <w:lvlText w:val="%8)"/>
      <w:lvlJc w:val="left"/>
      <w:pPr>
        <w:ind w:left="3792" w:hanging="420"/>
      </w:pPr>
    </w:lvl>
    <w:lvl w:ilvl="8" w:tentative="0">
      <w:start w:val="1"/>
      <w:numFmt w:val="lowerRoman"/>
      <w:lvlText w:val="%9."/>
      <w:lvlJc w:val="right"/>
      <w:pPr>
        <w:ind w:left="4212" w:hanging="420"/>
      </w:pPr>
    </w:lvl>
  </w:abstractNum>
  <w:abstractNum w:abstractNumId="6">
    <w:nsid w:val="3B7D65E3"/>
    <w:multiLevelType w:val="multilevel"/>
    <w:tmpl w:val="3B7D65E3"/>
    <w:lvl w:ilvl="0" w:tentative="0">
      <w:start w:val="1"/>
      <w:numFmt w:val="decimal"/>
      <w:lvlText w:val="%1，"/>
      <w:lvlJc w:val="left"/>
      <w:pPr>
        <w:ind w:left="1068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123" w:hanging="420"/>
      </w:pPr>
    </w:lvl>
    <w:lvl w:ilvl="2" w:tentative="0">
      <w:start w:val="1"/>
      <w:numFmt w:val="lowerRoman"/>
      <w:lvlText w:val="%3."/>
      <w:lvlJc w:val="right"/>
      <w:pPr>
        <w:ind w:left="1543" w:hanging="420"/>
      </w:pPr>
    </w:lvl>
    <w:lvl w:ilvl="3" w:tentative="0">
      <w:start w:val="1"/>
      <w:numFmt w:val="decimal"/>
      <w:lvlText w:val="%4."/>
      <w:lvlJc w:val="left"/>
      <w:pPr>
        <w:ind w:left="1963" w:hanging="420"/>
      </w:pPr>
    </w:lvl>
    <w:lvl w:ilvl="4" w:tentative="0">
      <w:start w:val="1"/>
      <w:numFmt w:val="lowerLetter"/>
      <w:lvlText w:val="%5)"/>
      <w:lvlJc w:val="left"/>
      <w:pPr>
        <w:ind w:left="2383" w:hanging="420"/>
      </w:pPr>
    </w:lvl>
    <w:lvl w:ilvl="5" w:tentative="0">
      <w:start w:val="1"/>
      <w:numFmt w:val="lowerRoman"/>
      <w:lvlText w:val="%6."/>
      <w:lvlJc w:val="right"/>
      <w:pPr>
        <w:ind w:left="2803" w:hanging="420"/>
      </w:pPr>
    </w:lvl>
    <w:lvl w:ilvl="6" w:tentative="0">
      <w:start w:val="1"/>
      <w:numFmt w:val="decimal"/>
      <w:lvlText w:val="%7."/>
      <w:lvlJc w:val="left"/>
      <w:pPr>
        <w:ind w:left="3223" w:hanging="420"/>
      </w:pPr>
    </w:lvl>
    <w:lvl w:ilvl="7" w:tentative="0">
      <w:start w:val="1"/>
      <w:numFmt w:val="lowerLetter"/>
      <w:lvlText w:val="%8)"/>
      <w:lvlJc w:val="left"/>
      <w:pPr>
        <w:ind w:left="3643" w:hanging="420"/>
      </w:pPr>
    </w:lvl>
    <w:lvl w:ilvl="8" w:tentative="0">
      <w:start w:val="1"/>
      <w:numFmt w:val="lowerRoman"/>
      <w:lvlText w:val="%9."/>
      <w:lvlJc w:val="right"/>
      <w:pPr>
        <w:ind w:left="4063" w:hanging="420"/>
      </w:pPr>
    </w:lvl>
  </w:abstractNum>
  <w:abstractNum w:abstractNumId="7">
    <w:nsid w:val="559F05CD"/>
    <w:multiLevelType w:val="multilevel"/>
    <w:tmpl w:val="559F05CD"/>
    <w:lvl w:ilvl="0" w:tentative="0">
      <w:start w:val="3"/>
      <w:numFmt w:val="decimal"/>
      <w:lvlText w:val="%1，"/>
      <w:lvlJc w:val="left"/>
      <w:pPr>
        <w:ind w:left="643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123" w:hanging="420"/>
      </w:pPr>
    </w:lvl>
    <w:lvl w:ilvl="2" w:tentative="0">
      <w:start w:val="1"/>
      <w:numFmt w:val="lowerRoman"/>
      <w:lvlText w:val="%3."/>
      <w:lvlJc w:val="right"/>
      <w:pPr>
        <w:ind w:left="1543" w:hanging="420"/>
      </w:pPr>
    </w:lvl>
    <w:lvl w:ilvl="3" w:tentative="0">
      <w:start w:val="1"/>
      <w:numFmt w:val="decimal"/>
      <w:lvlText w:val="%4."/>
      <w:lvlJc w:val="left"/>
      <w:pPr>
        <w:ind w:left="1963" w:hanging="420"/>
      </w:pPr>
    </w:lvl>
    <w:lvl w:ilvl="4" w:tentative="0">
      <w:start w:val="1"/>
      <w:numFmt w:val="lowerLetter"/>
      <w:lvlText w:val="%5)"/>
      <w:lvlJc w:val="left"/>
      <w:pPr>
        <w:ind w:left="2383" w:hanging="420"/>
      </w:pPr>
    </w:lvl>
    <w:lvl w:ilvl="5" w:tentative="0">
      <w:start w:val="1"/>
      <w:numFmt w:val="lowerRoman"/>
      <w:lvlText w:val="%6."/>
      <w:lvlJc w:val="right"/>
      <w:pPr>
        <w:ind w:left="2803" w:hanging="420"/>
      </w:pPr>
    </w:lvl>
    <w:lvl w:ilvl="6" w:tentative="0">
      <w:start w:val="1"/>
      <w:numFmt w:val="decimal"/>
      <w:lvlText w:val="%7."/>
      <w:lvlJc w:val="left"/>
      <w:pPr>
        <w:ind w:left="3223" w:hanging="420"/>
      </w:pPr>
    </w:lvl>
    <w:lvl w:ilvl="7" w:tentative="0">
      <w:start w:val="1"/>
      <w:numFmt w:val="lowerLetter"/>
      <w:lvlText w:val="%8)"/>
      <w:lvlJc w:val="left"/>
      <w:pPr>
        <w:ind w:left="3643" w:hanging="420"/>
      </w:pPr>
    </w:lvl>
    <w:lvl w:ilvl="8" w:tentative="0">
      <w:start w:val="1"/>
      <w:numFmt w:val="lowerRoman"/>
      <w:lvlText w:val="%9."/>
      <w:lvlJc w:val="right"/>
      <w:pPr>
        <w:ind w:left="4063" w:hanging="420"/>
      </w:pPr>
    </w:lvl>
  </w:abstractNum>
  <w:abstractNum w:abstractNumId="8">
    <w:nsid w:val="630C0526"/>
    <w:multiLevelType w:val="multilevel"/>
    <w:tmpl w:val="630C0526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73A96249"/>
    <w:multiLevelType w:val="multilevel"/>
    <w:tmpl w:val="73A96249"/>
    <w:lvl w:ilvl="0" w:tentative="0">
      <w:start w:val="1"/>
      <w:numFmt w:val="decimal"/>
      <w:lvlText w:val="%1，"/>
      <w:lvlJc w:val="left"/>
      <w:pPr>
        <w:ind w:left="785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5" w:hanging="420"/>
      </w:pPr>
    </w:lvl>
    <w:lvl w:ilvl="2" w:tentative="0">
      <w:start w:val="1"/>
      <w:numFmt w:val="lowerRoman"/>
      <w:lvlText w:val="%3."/>
      <w:lvlJc w:val="right"/>
      <w:pPr>
        <w:ind w:left="1685" w:hanging="420"/>
      </w:pPr>
    </w:lvl>
    <w:lvl w:ilvl="3" w:tentative="0">
      <w:start w:val="1"/>
      <w:numFmt w:val="decimal"/>
      <w:lvlText w:val="%4."/>
      <w:lvlJc w:val="left"/>
      <w:pPr>
        <w:ind w:left="2105" w:hanging="420"/>
      </w:pPr>
    </w:lvl>
    <w:lvl w:ilvl="4" w:tentative="0">
      <w:start w:val="1"/>
      <w:numFmt w:val="lowerLetter"/>
      <w:lvlText w:val="%5)"/>
      <w:lvlJc w:val="left"/>
      <w:pPr>
        <w:ind w:left="2525" w:hanging="420"/>
      </w:pPr>
    </w:lvl>
    <w:lvl w:ilvl="5" w:tentative="0">
      <w:start w:val="1"/>
      <w:numFmt w:val="lowerRoman"/>
      <w:lvlText w:val="%6."/>
      <w:lvlJc w:val="right"/>
      <w:pPr>
        <w:ind w:left="2945" w:hanging="420"/>
      </w:pPr>
    </w:lvl>
    <w:lvl w:ilvl="6" w:tentative="0">
      <w:start w:val="1"/>
      <w:numFmt w:val="decimal"/>
      <w:lvlText w:val="%7."/>
      <w:lvlJc w:val="left"/>
      <w:pPr>
        <w:ind w:left="3365" w:hanging="420"/>
      </w:pPr>
    </w:lvl>
    <w:lvl w:ilvl="7" w:tentative="0">
      <w:start w:val="1"/>
      <w:numFmt w:val="lowerLetter"/>
      <w:lvlText w:val="%8)"/>
      <w:lvlJc w:val="left"/>
      <w:pPr>
        <w:ind w:left="3785" w:hanging="420"/>
      </w:pPr>
    </w:lvl>
    <w:lvl w:ilvl="8" w:tentative="0">
      <w:start w:val="1"/>
      <w:numFmt w:val="lowerRoman"/>
      <w:lvlText w:val="%9."/>
      <w:lvlJc w:val="right"/>
      <w:pPr>
        <w:ind w:left="4205" w:hanging="420"/>
      </w:pPr>
    </w:lvl>
  </w:abstractNum>
  <w:abstractNum w:abstractNumId="10">
    <w:nsid w:val="7FB40263"/>
    <w:multiLevelType w:val="multilevel"/>
    <w:tmpl w:val="7FB40263"/>
    <w:lvl w:ilvl="0" w:tentative="0">
      <w:start w:val="1"/>
      <w:numFmt w:val="decimal"/>
      <w:lvlText w:val="%1，"/>
      <w:lvlJc w:val="left"/>
      <w:pPr>
        <w:ind w:left="927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07" w:hanging="420"/>
      </w:pPr>
    </w:lvl>
    <w:lvl w:ilvl="2" w:tentative="0">
      <w:start w:val="1"/>
      <w:numFmt w:val="lowerRoman"/>
      <w:lvlText w:val="%3."/>
      <w:lvlJc w:val="right"/>
      <w:pPr>
        <w:ind w:left="1827" w:hanging="420"/>
      </w:pPr>
    </w:lvl>
    <w:lvl w:ilvl="3" w:tentative="0">
      <w:start w:val="1"/>
      <w:numFmt w:val="decimal"/>
      <w:lvlText w:val="%4."/>
      <w:lvlJc w:val="left"/>
      <w:pPr>
        <w:ind w:left="2247" w:hanging="420"/>
      </w:pPr>
    </w:lvl>
    <w:lvl w:ilvl="4" w:tentative="0">
      <w:start w:val="1"/>
      <w:numFmt w:val="lowerLetter"/>
      <w:lvlText w:val="%5)"/>
      <w:lvlJc w:val="left"/>
      <w:pPr>
        <w:ind w:left="2667" w:hanging="420"/>
      </w:pPr>
    </w:lvl>
    <w:lvl w:ilvl="5" w:tentative="0">
      <w:start w:val="1"/>
      <w:numFmt w:val="lowerRoman"/>
      <w:lvlText w:val="%6."/>
      <w:lvlJc w:val="right"/>
      <w:pPr>
        <w:ind w:left="3087" w:hanging="420"/>
      </w:pPr>
    </w:lvl>
    <w:lvl w:ilvl="6" w:tentative="0">
      <w:start w:val="1"/>
      <w:numFmt w:val="decimal"/>
      <w:lvlText w:val="%7."/>
      <w:lvlJc w:val="left"/>
      <w:pPr>
        <w:ind w:left="3507" w:hanging="420"/>
      </w:pPr>
    </w:lvl>
    <w:lvl w:ilvl="7" w:tentative="0">
      <w:start w:val="1"/>
      <w:numFmt w:val="lowerLetter"/>
      <w:lvlText w:val="%8)"/>
      <w:lvlJc w:val="left"/>
      <w:pPr>
        <w:ind w:left="3927" w:hanging="420"/>
      </w:pPr>
    </w:lvl>
    <w:lvl w:ilvl="8" w:tentative="0">
      <w:start w:val="1"/>
      <w:numFmt w:val="lowerRoman"/>
      <w:lvlText w:val="%9."/>
      <w:lvlJc w:val="right"/>
      <w:pPr>
        <w:ind w:left="4347" w:hanging="42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7"/>
  </w:num>
  <w:num w:numId="8">
    <w:abstractNumId w:val="6"/>
  </w:num>
  <w:num w:numId="9">
    <w:abstractNumId w:val="10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838"/>
    <w:rsid w:val="0000657F"/>
    <w:rsid w:val="000A69F5"/>
    <w:rsid w:val="000F0E18"/>
    <w:rsid w:val="001439A5"/>
    <w:rsid w:val="001900DE"/>
    <w:rsid w:val="00203B7E"/>
    <w:rsid w:val="00345838"/>
    <w:rsid w:val="003C50BB"/>
    <w:rsid w:val="0041132E"/>
    <w:rsid w:val="006A29A6"/>
    <w:rsid w:val="0074054E"/>
    <w:rsid w:val="007944E1"/>
    <w:rsid w:val="007E6486"/>
    <w:rsid w:val="007F4373"/>
    <w:rsid w:val="00813B21"/>
    <w:rsid w:val="0088367C"/>
    <w:rsid w:val="008E0716"/>
    <w:rsid w:val="0091322F"/>
    <w:rsid w:val="0092524E"/>
    <w:rsid w:val="00A329A6"/>
    <w:rsid w:val="00A8254E"/>
    <w:rsid w:val="00AB052A"/>
    <w:rsid w:val="00B513EA"/>
    <w:rsid w:val="00CD4BBC"/>
    <w:rsid w:val="00DC5F93"/>
    <w:rsid w:val="00F10987"/>
    <w:rsid w:val="00F500BB"/>
    <w:rsid w:val="00F55F9F"/>
    <w:rsid w:val="00FD5AC4"/>
    <w:rsid w:val="27DC1855"/>
    <w:rsid w:val="5A297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unhideWhenUsed/>
    <w:uiPriority w:val="99"/>
    <w:rPr>
      <w:sz w:val="18"/>
      <w:szCs w:val="18"/>
    </w:rPr>
  </w:style>
  <w:style w:type="paragraph" w:customStyle="1" w:styleId="5">
    <w:name w:val="列表段落1"/>
    <w:basedOn w:val="1"/>
    <w:qFormat/>
    <w:uiPriority w:val="34"/>
    <w:pPr>
      <w:ind w:firstLine="420" w:firstLineChars="200"/>
    </w:pPr>
  </w:style>
  <w:style w:type="character" w:customStyle="1" w:styleId="6">
    <w:name w:val="批注框文本 字符"/>
    <w:basedOn w:val="4"/>
    <w:link w:val="2"/>
    <w:semiHidden/>
    <w:uiPriority w:val="99"/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paragraph" w:customStyle="1" w:styleId="8">
    <w:name w:val="_Style 7"/>
    <w:basedOn w:val="1"/>
    <w:next w:val="7"/>
    <w:qFormat/>
    <w:uiPriority w:val="34"/>
    <w:pPr>
      <w:ind w:firstLine="420" w:firstLineChars="200"/>
    </w:pPr>
    <w:rPr>
      <w:rFonts w:ascii="Calibri" w:hAnsi="Calibri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394</Words>
  <Characters>2250</Characters>
  <Lines>18</Lines>
  <Paragraphs>5</Paragraphs>
  <TotalTime>718</TotalTime>
  <ScaleCrop>false</ScaleCrop>
  <LinksUpToDate>false</LinksUpToDate>
  <CharactersWithSpaces>2639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2019-10-30T03:08:00Z</dcterms:created>
  <dc:creator>崔皓扬</dc:creator>
  <cp:lastModifiedBy>西谛</cp:lastModifiedBy>
  <dcterms:modified xsi:type="dcterms:W3CDTF">2020-06-12T03:47:54Z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