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611" w:rsidRDefault="00570611" w:rsidP="00570611">
      <w:pPr>
        <w:widowControl/>
        <w:jc w:val="left"/>
        <w:rPr>
          <w:rFonts w:ascii="宋体" w:eastAsia="宋体" w:hAnsi="宋体" w:cs="宋体"/>
          <w:color w:val="666666"/>
          <w:kern w:val="0"/>
          <w:sz w:val="44"/>
          <w:szCs w:val="44"/>
        </w:rPr>
      </w:pPr>
      <w:r>
        <w:rPr>
          <w:rFonts w:hint="eastAsia"/>
          <w:color w:val="666666"/>
          <w:sz w:val="32"/>
          <w:szCs w:val="32"/>
        </w:rPr>
        <w:t>附件1-3</w:t>
      </w:r>
    </w:p>
    <w:p w:rsidR="00570611" w:rsidRPr="00570611" w:rsidRDefault="00570611" w:rsidP="00570611">
      <w:pPr>
        <w:widowControl/>
        <w:jc w:val="center"/>
        <w:rPr>
          <w:rFonts w:ascii="宋体" w:eastAsia="宋体" w:hAnsi="宋体" w:cs="宋体"/>
          <w:b/>
          <w:color w:val="000000"/>
          <w:kern w:val="0"/>
          <w:szCs w:val="21"/>
        </w:rPr>
      </w:pPr>
      <w:r w:rsidRPr="00570611">
        <w:rPr>
          <w:rFonts w:ascii="宋体" w:eastAsia="宋体" w:hAnsi="宋体" w:cs="宋体" w:hint="eastAsia"/>
          <w:b/>
          <w:color w:val="666666"/>
          <w:kern w:val="0"/>
          <w:sz w:val="44"/>
          <w:szCs w:val="44"/>
        </w:rPr>
        <w:t>经济技术标评审表</w:t>
      </w:r>
    </w:p>
    <w:p w:rsidR="00570611" w:rsidRPr="00570611" w:rsidRDefault="00570611" w:rsidP="00570611">
      <w:pPr>
        <w:widowControl/>
        <w:jc w:val="center"/>
        <w:rPr>
          <w:rFonts w:ascii="宋体" w:eastAsia="宋体" w:hAnsi="宋体" w:cs="宋体" w:hint="eastAsia"/>
          <w:color w:val="000000"/>
          <w:kern w:val="0"/>
          <w:szCs w:val="21"/>
        </w:rPr>
      </w:pPr>
      <w:r w:rsidRPr="00570611">
        <w:rPr>
          <w:rFonts w:ascii="宋体" w:eastAsia="宋体" w:hAnsi="宋体" w:cs="宋体" w:hint="eastAsia"/>
          <w:color w:val="000000"/>
          <w:kern w:val="0"/>
          <w:szCs w:val="21"/>
        </w:rPr>
        <w:t> </w:t>
      </w:r>
    </w:p>
    <w:tbl>
      <w:tblPr>
        <w:tblW w:w="0" w:type="auto"/>
        <w:jc w:val="center"/>
        <w:tblCellMar>
          <w:left w:w="0" w:type="dxa"/>
          <w:right w:w="0" w:type="dxa"/>
        </w:tblCellMar>
        <w:tblLook w:val="04A0" w:firstRow="1" w:lastRow="0" w:firstColumn="1" w:lastColumn="0" w:noHBand="0" w:noVBand="1"/>
      </w:tblPr>
      <w:tblGrid>
        <w:gridCol w:w="1461"/>
        <w:gridCol w:w="1587"/>
        <w:gridCol w:w="1527"/>
        <w:gridCol w:w="2971"/>
        <w:gridCol w:w="740"/>
      </w:tblGrid>
      <w:tr w:rsidR="00570611" w:rsidRPr="00570611" w:rsidTr="00570611">
        <w:trPr>
          <w:trHeight w:val="410"/>
          <w:tblHeader/>
          <w:jc w:val="center"/>
        </w:trPr>
        <w:tc>
          <w:tcPr>
            <w:tcW w:w="713" w:type="dxa"/>
            <w:tcBorders>
              <w:top w:val="single" w:sz="8" w:space="0" w:color="auto"/>
              <w:left w:val="single" w:sz="8" w:space="0" w:color="auto"/>
              <w:bottom w:val="single" w:sz="8" w:space="0" w:color="auto"/>
              <w:right w:val="single" w:sz="8" w:space="0" w:color="auto"/>
            </w:tcBorders>
            <w:shd w:val="clear" w:color="auto" w:fill="auto"/>
            <w:hideMark/>
          </w:tcPr>
          <w:p w:rsidR="00570611" w:rsidRPr="00570611" w:rsidRDefault="00570611" w:rsidP="00570611">
            <w:pPr>
              <w:widowControl/>
              <w:spacing w:line="360" w:lineRule="atLeast"/>
              <w:jc w:val="center"/>
              <w:rPr>
                <w:rFonts w:ascii="宋体" w:eastAsia="宋体" w:hAnsi="宋体" w:cs="宋体" w:hint="eastAsia"/>
                <w:kern w:val="0"/>
                <w:sz w:val="24"/>
                <w:szCs w:val="24"/>
              </w:rPr>
            </w:pPr>
            <w:r w:rsidRPr="00570611">
              <w:rPr>
                <w:rFonts w:ascii="宋体" w:eastAsia="宋体" w:hAnsi="宋体" w:cs="宋体"/>
                <w:b/>
                <w:bCs/>
                <w:color w:val="666666"/>
                <w:kern w:val="0"/>
                <w:sz w:val="24"/>
                <w:szCs w:val="24"/>
              </w:rPr>
              <w:t>序号</w:t>
            </w:r>
          </w:p>
        </w:tc>
        <w:tc>
          <w:tcPr>
            <w:tcW w:w="18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b/>
                <w:bCs/>
                <w:color w:val="666666"/>
                <w:kern w:val="0"/>
                <w:sz w:val="24"/>
                <w:szCs w:val="24"/>
              </w:rPr>
              <w:t>评价指标</w:t>
            </w:r>
          </w:p>
        </w:tc>
        <w:tc>
          <w:tcPr>
            <w:tcW w:w="6272"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b/>
                <w:bCs/>
                <w:color w:val="666666"/>
                <w:kern w:val="0"/>
                <w:sz w:val="24"/>
                <w:szCs w:val="24"/>
              </w:rPr>
              <w:t>指标分值</w:t>
            </w:r>
            <w:r w:rsidRPr="00570611">
              <w:rPr>
                <w:rFonts w:ascii="宋体" w:eastAsia="宋体" w:hAnsi="宋体" w:cs="宋体"/>
                <w:b/>
                <w:bCs/>
                <w:color w:val="000000"/>
                <w:kern w:val="0"/>
                <w:sz w:val="24"/>
                <w:szCs w:val="24"/>
                <w:vertAlign w:val="superscript"/>
              </w:rPr>
              <w:t>[1]</w:t>
            </w:r>
          </w:p>
        </w:tc>
      </w:tr>
      <w:tr w:rsidR="00570611" w:rsidRPr="00570611" w:rsidTr="00570611">
        <w:trPr>
          <w:trHeight w:val="305"/>
          <w:jc w:val="center"/>
        </w:trPr>
        <w:tc>
          <w:tcPr>
            <w:tcW w:w="713" w:type="dxa"/>
            <w:tcBorders>
              <w:top w:val="nil"/>
              <w:left w:val="single" w:sz="8" w:space="0" w:color="auto"/>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1</w:t>
            </w:r>
          </w:p>
        </w:tc>
        <w:tc>
          <w:tcPr>
            <w:tcW w:w="18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GMP资质认证情况</w:t>
            </w:r>
            <w:r w:rsidRPr="00570611">
              <w:rPr>
                <w:rFonts w:ascii="宋体" w:eastAsia="宋体" w:hAnsi="宋体" w:cs="宋体"/>
                <w:color w:val="000000"/>
                <w:kern w:val="0"/>
                <w:sz w:val="24"/>
                <w:szCs w:val="24"/>
                <w:vertAlign w:val="superscript"/>
              </w:rPr>
              <w:t>[2]</w:t>
            </w:r>
          </w:p>
        </w:tc>
        <w:tc>
          <w:tcPr>
            <w:tcW w:w="54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获得2010版GMP认证药品</w:t>
            </w:r>
          </w:p>
        </w:tc>
        <w:tc>
          <w:tcPr>
            <w:tcW w:w="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7分</w:t>
            </w:r>
          </w:p>
        </w:tc>
      </w:tr>
      <w:tr w:rsidR="00570611" w:rsidRPr="00570611" w:rsidTr="00570611">
        <w:trPr>
          <w:trHeight w:val="454"/>
          <w:jc w:val="center"/>
        </w:trPr>
        <w:tc>
          <w:tcPr>
            <w:tcW w:w="713" w:type="dxa"/>
            <w:vMerge w:val="restart"/>
            <w:tcBorders>
              <w:top w:val="nil"/>
              <w:left w:val="single" w:sz="8" w:space="0" w:color="auto"/>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2</w:t>
            </w:r>
          </w:p>
        </w:tc>
        <w:tc>
          <w:tcPr>
            <w:tcW w:w="189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药品质量抽验抽查情况</w:t>
            </w:r>
            <w:r w:rsidRPr="00570611">
              <w:rPr>
                <w:rFonts w:ascii="宋体" w:eastAsia="宋体" w:hAnsi="宋体" w:cs="宋体"/>
                <w:color w:val="000000"/>
                <w:kern w:val="0"/>
                <w:sz w:val="24"/>
                <w:szCs w:val="24"/>
                <w:vertAlign w:val="superscript"/>
              </w:rPr>
              <w:t>[3]</w:t>
            </w:r>
          </w:p>
        </w:tc>
        <w:tc>
          <w:tcPr>
            <w:tcW w:w="54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符合规定</w:t>
            </w:r>
          </w:p>
        </w:tc>
        <w:tc>
          <w:tcPr>
            <w:tcW w:w="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8分</w:t>
            </w:r>
          </w:p>
        </w:tc>
      </w:tr>
      <w:tr w:rsidR="00570611" w:rsidRPr="00570611" w:rsidTr="00570611">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54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同企业同品规一年内不符合规定1次</w:t>
            </w:r>
          </w:p>
        </w:tc>
        <w:tc>
          <w:tcPr>
            <w:tcW w:w="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4分</w:t>
            </w:r>
          </w:p>
        </w:tc>
      </w:tr>
      <w:tr w:rsidR="00570611" w:rsidRPr="00570611" w:rsidTr="00570611">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54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同企业同品规一年内不符合规定2次及以上</w:t>
            </w:r>
          </w:p>
        </w:tc>
        <w:tc>
          <w:tcPr>
            <w:tcW w:w="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0分</w:t>
            </w:r>
          </w:p>
        </w:tc>
      </w:tr>
      <w:tr w:rsidR="00570611" w:rsidRPr="00570611" w:rsidTr="00570611">
        <w:trPr>
          <w:trHeight w:val="429"/>
          <w:jc w:val="center"/>
        </w:trPr>
        <w:tc>
          <w:tcPr>
            <w:tcW w:w="713" w:type="dxa"/>
            <w:vMerge w:val="restart"/>
            <w:tcBorders>
              <w:top w:val="nil"/>
              <w:left w:val="single" w:sz="8" w:space="0" w:color="auto"/>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3</w:t>
            </w:r>
          </w:p>
        </w:tc>
        <w:tc>
          <w:tcPr>
            <w:tcW w:w="189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生产规模</w:t>
            </w:r>
            <w:r w:rsidRPr="00570611">
              <w:rPr>
                <w:rFonts w:ascii="宋体" w:eastAsia="宋体" w:hAnsi="宋体" w:cs="宋体"/>
                <w:color w:val="000000"/>
                <w:kern w:val="0"/>
                <w:sz w:val="24"/>
                <w:szCs w:val="24"/>
                <w:vertAlign w:val="superscript"/>
              </w:rPr>
              <w:t>[4]</w:t>
            </w:r>
          </w:p>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kern w:val="0"/>
                <w:sz w:val="24"/>
                <w:szCs w:val="24"/>
              </w:rPr>
              <w:t> </w:t>
            </w:r>
          </w:p>
        </w:tc>
        <w:tc>
          <w:tcPr>
            <w:tcW w:w="1784" w:type="dxa"/>
            <w:vMerge w:val="restar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以上一年度主营业务收入排名为准</w:t>
            </w:r>
            <w:r w:rsidRPr="00570611">
              <w:rPr>
                <w:rFonts w:ascii="宋体" w:eastAsia="宋体" w:hAnsi="宋体" w:cs="宋体"/>
                <w:color w:val="000000"/>
                <w:kern w:val="0"/>
                <w:sz w:val="24"/>
                <w:szCs w:val="24"/>
                <w:vertAlign w:val="superscript"/>
              </w:rPr>
              <w:t>[5]</w:t>
            </w:r>
          </w:p>
        </w:tc>
        <w:tc>
          <w:tcPr>
            <w:tcW w:w="3660"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化学药品排序前100家企业生产的药品、中成药排序前50家企业生产的药品、生物生化制品排序前50家企业生产的药品</w:t>
            </w:r>
          </w:p>
        </w:tc>
        <w:tc>
          <w:tcPr>
            <w:tcW w:w="828"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18分</w:t>
            </w:r>
          </w:p>
        </w:tc>
      </w:tr>
      <w:tr w:rsidR="00570611" w:rsidRPr="00570611" w:rsidTr="00570611">
        <w:trPr>
          <w:trHeight w:val="1502"/>
          <w:jc w:val="center"/>
        </w:trPr>
        <w:tc>
          <w:tcPr>
            <w:tcW w:w="0" w:type="auto"/>
            <w:vMerge/>
            <w:tcBorders>
              <w:top w:val="nil"/>
              <w:left w:val="single" w:sz="8" w:space="0" w:color="auto"/>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3660"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化学药品排序第101～200家企业生产的药品、中成药排序第51～100家企业生产的药品、生物生化制品排序第51～100家企业生产的药品</w:t>
            </w:r>
          </w:p>
        </w:tc>
        <w:tc>
          <w:tcPr>
            <w:tcW w:w="828"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16分</w:t>
            </w:r>
          </w:p>
        </w:tc>
      </w:tr>
      <w:tr w:rsidR="00570611" w:rsidRPr="00570611" w:rsidTr="00570611">
        <w:trPr>
          <w:trHeight w:val="1718"/>
          <w:jc w:val="center"/>
        </w:trPr>
        <w:tc>
          <w:tcPr>
            <w:tcW w:w="0" w:type="auto"/>
            <w:vMerge/>
            <w:tcBorders>
              <w:top w:val="nil"/>
              <w:left w:val="single" w:sz="8" w:space="0" w:color="auto"/>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3660"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化学药品排序第201～400家企业生产的药品、中成药排序第101～300家企业生产的药品、生物生化制品排序第101名以后企业生产的药品</w:t>
            </w:r>
          </w:p>
        </w:tc>
        <w:tc>
          <w:tcPr>
            <w:tcW w:w="828"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14分</w:t>
            </w:r>
          </w:p>
        </w:tc>
      </w:tr>
      <w:tr w:rsidR="00570611" w:rsidRPr="00570611" w:rsidTr="00570611">
        <w:trPr>
          <w:trHeight w:val="429"/>
          <w:jc w:val="center"/>
        </w:trPr>
        <w:tc>
          <w:tcPr>
            <w:tcW w:w="0" w:type="auto"/>
            <w:vMerge/>
            <w:tcBorders>
              <w:top w:val="nil"/>
              <w:left w:val="single" w:sz="8" w:space="0" w:color="auto"/>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3660"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其他未列入以上排序的药品</w:t>
            </w:r>
          </w:p>
        </w:tc>
        <w:tc>
          <w:tcPr>
            <w:tcW w:w="828"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12分</w:t>
            </w:r>
          </w:p>
        </w:tc>
      </w:tr>
      <w:tr w:rsidR="00570611" w:rsidRPr="00570611" w:rsidTr="00570611">
        <w:trPr>
          <w:trHeight w:val="510"/>
          <w:jc w:val="center"/>
        </w:trPr>
        <w:tc>
          <w:tcPr>
            <w:tcW w:w="713" w:type="dxa"/>
            <w:vMerge w:val="restart"/>
            <w:tcBorders>
              <w:top w:val="nil"/>
              <w:left w:val="single" w:sz="8" w:space="0" w:color="auto"/>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4</w:t>
            </w:r>
          </w:p>
        </w:tc>
        <w:tc>
          <w:tcPr>
            <w:tcW w:w="189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配送能力</w:t>
            </w:r>
            <w:r w:rsidRPr="00570611">
              <w:rPr>
                <w:rFonts w:ascii="宋体" w:eastAsia="宋体" w:hAnsi="宋体" w:cs="宋体"/>
                <w:color w:val="000000"/>
                <w:kern w:val="0"/>
                <w:sz w:val="24"/>
                <w:szCs w:val="24"/>
                <w:vertAlign w:val="superscript"/>
              </w:rPr>
              <w:t>[6]</w:t>
            </w:r>
          </w:p>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kern w:val="0"/>
                <w:sz w:val="24"/>
                <w:szCs w:val="24"/>
              </w:rPr>
              <w:t> </w:t>
            </w:r>
          </w:p>
        </w:tc>
        <w:tc>
          <w:tcPr>
            <w:tcW w:w="178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4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以上一年度广东省第三方药品电子交易平台的医疗机构到货确认率为依据</w:t>
            </w:r>
          </w:p>
        </w:tc>
        <w:tc>
          <w:tcPr>
            <w:tcW w:w="3660"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90～100%（含90%）</w:t>
            </w:r>
          </w:p>
        </w:tc>
        <w:tc>
          <w:tcPr>
            <w:tcW w:w="828"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18分</w:t>
            </w:r>
          </w:p>
        </w:tc>
      </w:tr>
      <w:tr w:rsidR="00570611" w:rsidRPr="00570611" w:rsidTr="00570611">
        <w:trPr>
          <w:trHeight w:val="510"/>
          <w:jc w:val="center"/>
        </w:trPr>
        <w:tc>
          <w:tcPr>
            <w:tcW w:w="0" w:type="auto"/>
            <w:vMerge/>
            <w:tcBorders>
              <w:top w:val="nil"/>
              <w:left w:val="single" w:sz="8" w:space="0" w:color="auto"/>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3660"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80～90%（含80%）</w:t>
            </w:r>
          </w:p>
        </w:tc>
        <w:tc>
          <w:tcPr>
            <w:tcW w:w="828"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16分</w:t>
            </w:r>
          </w:p>
        </w:tc>
      </w:tr>
      <w:tr w:rsidR="00570611" w:rsidRPr="00570611" w:rsidTr="00570611">
        <w:trPr>
          <w:trHeight w:val="510"/>
          <w:jc w:val="center"/>
        </w:trPr>
        <w:tc>
          <w:tcPr>
            <w:tcW w:w="0" w:type="auto"/>
            <w:vMerge/>
            <w:tcBorders>
              <w:top w:val="nil"/>
              <w:left w:val="single" w:sz="8" w:space="0" w:color="auto"/>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3660"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50～80%（含50%）</w:t>
            </w:r>
          </w:p>
        </w:tc>
        <w:tc>
          <w:tcPr>
            <w:tcW w:w="828"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12分</w:t>
            </w:r>
          </w:p>
        </w:tc>
      </w:tr>
      <w:tr w:rsidR="00570611" w:rsidRPr="00570611" w:rsidTr="00570611">
        <w:trPr>
          <w:trHeight w:val="510"/>
          <w:jc w:val="center"/>
        </w:trPr>
        <w:tc>
          <w:tcPr>
            <w:tcW w:w="0" w:type="auto"/>
            <w:vMerge/>
            <w:tcBorders>
              <w:top w:val="nil"/>
              <w:left w:val="single" w:sz="8" w:space="0" w:color="auto"/>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3660"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50%以下</w:t>
            </w:r>
          </w:p>
        </w:tc>
        <w:tc>
          <w:tcPr>
            <w:tcW w:w="828"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5分</w:t>
            </w:r>
          </w:p>
        </w:tc>
      </w:tr>
      <w:tr w:rsidR="00570611" w:rsidRPr="00570611" w:rsidTr="00570611">
        <w:trPr>
          <w:trHeight w:val="2258"/>
          <w:jc w:val="center"/>
        </w:trPr>
        <w:tc>
          <w:tcPr>
            <w:tcW w:w="713" w:type="dxa"/>
            <w:tcBorders>
              <w:top w:val="nil"/>
              <w:left w:val="single" w:sz="8" w:space="0" w:color="auto"/>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lastRenderedPageBreak/>
              <w:t>5</w:t>
            </w:r>
          </w:p>
        </w:tc>
        <w:tc>
          <w:tcPr>
            <w:tcW w:w="18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产品广东省</w:t>
            </w:r>
          </w:p>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总销售额</w:t>
            </w:r>
            <w:r w:rsidRPr="00570611">
              <w:rPr>
                <w:rFonts w:ascii="宋体" w:eastAsia="宋体" w:hAnsi="宋体" w:cs="宋体"/>
                <w:color w:val="000000"/>
                <w:kern w:val="0"/>
                <w:sz w:val="24"/>
                <w:szCs w:val="24"/>
                <w:vertAlign w:val="superscript"/>
              </w:rPr>
              <w:t>[6]</w:t>
            </w:r>
          </w:p>
        </w:tc>
        <w:tc>
          <w:tcPr>
            <w:tcW w:w="1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4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以上一年度具体品规在广东省第三方药品电子交易平台的配送金额为依据</w:t>
            </w:r>
          </w:p>
        </w:tc>
        <w:tc>
          <w:tcPr>
            <w:tcW w:w="3660"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500万元以下得5分，每增加200万元加0.5分</w:t>
            </w:r>
          </w:p>
        </w:tc>
        <w:tc>
          <w:tcPr>
            <w:tcW w:w="828"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5-10分</w:t>
            </w:r>
          </w:p>
        </w:tc>
      </w:tr>
      <w:tr w:rsidR="00570611" w:rsidRPr="00570611" w:rsidTr="00570611">
        <w:trPr>
          <w:trHeight w:val="824"/>
          <w:jc w:val="center"/>
        </w:trPr>
        <w:tc>
          <w:tcPr>
            <w:tcW w:w="713" w:type="dxa"/>
            <w:vMerge w:val="restart"/>
            <w:tcBorders>
              <w:top w:val="nil"/>
              <w:left w:val="single" w:sz="8" w:space="0" w:color="auto"/>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6</w:t>
            </w:r>
          </w:p>
        </w:tc>
        <w:tc>
          <w:tcPr>
            <w:tcW w:w="189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生产企业</w:t>
            </w:r>
          </w:p>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市场信誉记录</w:t>
            </w:r>
            <w:r w:rsidRPr="00570611">
              <w:rPr>
                <w:rFonts w:ascii="宋体" w:eastAsia="宋体" w:hAnsi="宋体" w:cs="宋体"/>
                <w:color w:val="000000"/>
                <w:kern w:val="0"/>
                <w:sz w:val="24"/>
                <w:szCs w:val="24"/>
                <w:vertAlign w:val="superscript"/>
              </w:rPr>
              <w:t>[6]</w:t>
            </w:r>
          </w:p>
        </w:tc>
        <w:tc>
          <w:tcPr>
            <w:tcW w:w="178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以上一年度药品电子购销合同签订的时效为依据</w:t>
            </w:r>
          </w:p>
        </w:tc>
        <w:tc>
          <w:tcPr>
            <w:tcW w:w="3660"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90%（含）以上的购销合同在医疗机构发起合同10天内签订</w:t>
            </w:r>
          </w:p>
        </w:tc>
        <w:tc>
          <w:tcPr>
            <w:tcW w:w="828"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7分</w:t>
            </w:r>
          </w:p>
        </w:tc>
      </w:tr>
      <w:tr w:rsidR="00570611" w:rsidRPr="00570611" w:rsidTr="00570611">
        <w:trPr>
          <w:trHeight w:val="806"/>
          <w:jc w:val="center"/>
        </w:trPr>
        <w:tc>
          <w:tcPr>
            <w:tcW w:w="0" w:type="auto"/>
            <w:vMerge/>
            <w:tcBorders>
              <w:top w:val="nil"/>
              <w:left w:val="single" w:sz="8" w:space="0" w:color="auto"/>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3660"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80～90%（含80%）购销合同在医疗机构发起合同10天内签订</w:t>
            </w:r>
          </w:p>
        </w:tc>
        <w:tc>
          <w:tcPr>
            <w:tcW w:w="828"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5分</w:t>
            </w:r>
          </w:p>
        </w:tc>
      </w:tr>
      <w:tr w:rsidR="00570611" w:rsidRPr="00570611" w:rsidTr="00570611">
        <w:trPr>
          <w:trHeight w:val="1007"/>
          <w:jc w:val="center"/>
        </w:trPr>
        <w:tc>
          <w:tcPr>
            <w:tcW w:w="0" w:type="auto"/>
            <w:vMerge/>
            <w:tcBorders>
              <w:top w:val="nil"/>
              <w:left w:val="single" w:sz="8" w:space="0" w:color="auto"/>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3660"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＜80%购销合同在医疗机构发起合同10天内签订</w:t>
            </w:r>
          </w:p>
        </w:tc>
        <w:tc>
          <w:tcPr>
            <w:tcW w:w="828"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0分</w:t>
            </w:r>
          </w:p>
        </w:tc>
      </w:tr>
      <w:tr w:rsidR="00570611" w:rsidRPr="00570611" w:rsidTr="00570611">
        <w:trPr>
          <w:trHeight w:val="70"/>
          <w:jc w:val="center"/>
        </w:trPr>
        <w:tc>
          <w:tcPr>
            <w:tcW w:w="0" w:type="auto"/>
            <w:vMerge/>
            <w:tcBorders>
              <w:top w:val="nil"/>
              <w:left w:val="single" w:sz="8" w:space="0" w:color="auto"/>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178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以上一年度企业被公布的不供货、不足量或不及时供货药品交易违规行为为依据</w:t>
            </w:r>
            <w:r w:rsidRPr="00570611">
              <w:rPr>
                <w:rFonts w:ascii="宋体" w:eastAsia="宋体" w:hAnsi="宋体" w:cs="宋体"/>
                <w:color w:val="000000"/>
                <w:kern w:val="0"/>
                <w:sz w:val="24"/>
                <w:szCs w:val="24"/>
                <w:vertAlign w:val="superscript"/>
              </w:rPr>
              <w:t>[7]</w:t>
            </w:r>
          </w:p>
        </w:tc>
        <w:tc>
          <w:tcPr>
            <w:tcW w:w="3660"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企业无被公布的不供货、不足量或不及时供货等药品交易违规行为</w:t>
            </w:r>
          </w:p>
        </w:tc>
        <w:tc>
          <w:tcPr>
            <w:tcW w:w="828"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7分</w:t>
            </w:r>
          </w:p>
        </w:tc>
      </w:tr>
      <w:tr w:rsidR="00570611" w:rsidRPr="00570611" w:rsidTr="00570611">
        <w:trPr>
          <w:trHeight w:val="220"/>
          <w:jc w:val="center"/>
        </w:trPr>
        <w:tc>
          <w:tcPr>
            <w:tcW w:w="0" w:type="auto"/>
            <w:vMerge/>
            <w:tcBorders>
              <w:top w:val="nil"/>
              <w:left w:val="single" w:sz="8" w:space="0" w:color="auto"/>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3660"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企业品种有1宗被公布的不供货、不足量或不及时供货药品交易违规行为</w:t>
            </w:r>
          </w:p>
        </w:tc>
        <w:tc>
          <w:tcPr>
            <w:tcW w:w="828"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4分</w:t>
            </w:r>
          </w:p>
        </w:tc>
      </w:tr>
      <w:tr w:rsidR="00570611" w:rsidRPr="00570611" w:rsidTr="00570611">
        <w:trPr>
          <w:trHeight w:val="990"/>
          <w:jc w:val="center"/>
        </w:trPr>
        <w:tc>
          <w:tcPr>
            <w:tcW w:w="0" w:type="auto"/>
            <w:vMerge/>
            <w:tcBorders>
              <w:top w:val="nil"/>
              <w:left w:val="single" w:sz="8" w:space="0" w:color="auto"/>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3660"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企业品种有2宗及以上被公布的不供货、不足量或不及时供货药品交易违规行为</w:t>
            </w:r>
          </w:p>
        </w:tc>
        <w:tc>
          <w:tcPr>
            <w:tcW w:w="828"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0分</w:t>
            </w:r>
          </w:p>
        </w:tc>
      </w:tr>
      <w:tr w:rsidR="00570611" w:rsidRPr="00570611" w:rsidTr="00570611">
        <w:trPr>
          <w:trHeight w:val="837"/>
          <w:jc w:val="center"/>
        </w:trPr>
        <w:tc>
          <w:tcPr>
            <w:tcW w:w="0" w:type="auto"/>
            <w:vMerge/>
            <w:tcBorders>
              <w:top w:val="nil"/>
              <w:left w:val="single" w:sz="8" w:space="0" w:color="auto"/>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178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以上一年度指定配送商的配送时限为依据</w:t>
            </w:r>
          </w:p>
        </w:tc>
        <w:tc>
          <w:tcPr>
            <w:tcW w:w="3660"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90%（含）以上的订单48小时内有出库纪录</w:t>
            </w:r>
          </w:p>
        </w:tc>
        <w:tc>
          <w:tcPr>
            <w:tcW w:w="828"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6分</w:t>
            </w:r>
          </w:p>
        </w:tc>
      </w:tr>
      <w:tr w:rsidR="00570611" w:rsidRPr="00570611" w:rsidTr="00570611">
        <w:trPr>
          <w:trHeight w:val="158"/>
          <w:jc w:val="center"/>
        </w:trPr>
        <w:tc>
          <w:tcPr>
            <w:tcW w:w="0" w:type="auto"/>
            <w:vMerge/>
            <w:tcBorders>
              <w:top w:val="nil"/>
              <w:left w:val="single" w:sz="8" w:space="0" w:color="auto"/>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3660"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80～90%（含80%）订单48小时内有出库纪录</w:t>
            </w:r>
          </w:p>
        </w:tc>
        <w:tc>
          <w:tcPr>
            <w:tcW w:w="828"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4分</w:t>
            </w:r>
          </w:p>
        </w:tc>
      </w:tr>
      <w:tr w:rsidR="00570611" w:rsidRPr="00570611" w:rsidTr="00570611">
        <w:trPr>
          <w:trHeight w:val="652"/>
          <w:jc w:val="center"/>
        </w:trPr>
        <w:tc>
          <w:tcPr>
            <w:tcW w:w="0" w:type="auto"/>
            <w:vMerge/>
            <w:tcBorders>
              <w:top w:val="nil"/>
              <w:left w:val="single" w:sz="8" w:space="0" w:color="auto"/>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570611" w:rsidRPr="00570611" w:rsidRDefault="00570611" w:rsidP="00570611">
            <w:pPr>
              <w:widowControl/>
              <w:jc w:val="left"/>
              <w:rPr>
                <w:rFonts w:ascii="宋体" w:eastAsia="宋体" w:hAnsi="宋体" w:cs="宋体"/>
                <w:kern w:val="0"/>
                <w:sz w:val="24"/>
                <w:szCs w:val="24"/>
              </w:rPr>
            </w:pPr>
          </w:p>
        </w:tc>
        <w:tc>
          <w:tcPr>
            <w:tcW w:w="3660"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＜80%订单48小时内有出库纪录</w:t>
            </w:r>
          </w:p>
        </w:tc>
        <w:tc>
          <w:tcPr>
            <w:tcW w:w="828"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0分</w:t>
            </w:r>
          </w:p>
        </w:tc>
      </w:tr>
      <w:tr w:rsidR="00570611" w:rsidRPr="00570611" w:rsidTr="00570611">
        <w:trPr>
          <w:trHeight w:val="916"/>
          <w:jc w:val="center"/>
        </w:trPr>
        <w:tc>
          <w:tcPr>
            <w:tcW w:w="713" w:type="dxa"/>
            <w:tcBorders>
              <w:top w:val="nil"/>
              <w:left w:val="single" w:sz="8" w:space="0" w:color="auto"/>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      7</w:t>
            </w:r>
          </w:p>
        </w:tc>
        <w:tc>
          <w:tcPr>
            <w:tcW w:w="18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首次仿制国外专利药品</w:t>
            </w:r>
            <w:r w:rsidRPr="00570611">
              <w:rPr>
                <w:rFonts w:ascii="宋体" w:eastAsia="宋体" w:hAnsi="宋体" w:cs="宋体"/>
                <w:color w:val="000000"/>
                <w:kern w:val="0"/>
                <w:sz w:val="24"/>
                <w:szCs w:val="24"/>
                <w:vertAlign w:val="superscript"/>
              </w:rPr>
              <w:t>[8]</w:t>
            </w:r>
          </w:p>
        </w:tc>
        <w:tc>
          <w:tcPr>
            <w:tcW w:w="54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国产药品首次取得该药品国家食品药品监督管理部门的制剂批准文号</w:t>
            </w:r>
          </w:p>
        </w:tc>
        <w:tc>
          <w:tcPr>
            <w:tcW w:w="828"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12分</w:t>
            </w:r>
          </w:p>
        </w:tc>
      </w:tr>
      <w:tr w:rsidR="00570611" w:rsidRPr="00570611" w:rsidTr="00570611">
        <w:trPr>
          <w:trHeight w:val="127"/>
          <w:jc w:val="center"/>
        </w:trPr>
        <w:tc>
          <w:tcPr>
            <w:tcW w:w="713" w:type="dxa"/>
            <w:tcBorders>
              <w:top w:val="nil"/>
              <w:left w:val="single" w:sz="8" w:space="0" w:color="auto"/>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8</w:t>
            </w:r>
          </w:p>
        </w:tc>
        <w:tc>
          <w:tcPr>
            <w:tcW w:w="18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药品质量标准起草单位对应药品</w:t>
            </w:r>
            <w:r w:rsidRPr="00570611">
              <w:rPr>
                <w:rFonts w:ascii="宋体" w:eastAsia="宋体" w:hAnsi="宋体" w:cs="宋体"/>
                <w:color w:val="000000"/>
                <w:kern w:val="0"/>
                <w:sz w:val="24"/>
                <w:szCs w:val="24"/>
                <w:vertAlign w:val="superscript"/>
              </w:rPr>
              <w:t>[9]</w:t>
            </w:r>
          </w:p>
        </w:tc>
        <w:tc>
          <w:tcPr>
            <w:tcW w:w="54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70611" w:rsidRPr="00570611" w:rsidRDefault="00570611" w:rsidP="00570611">
            <w:pPr>
              <w:widowControl/>
              <w:spacing w:line="360" w:lineRule="atLeast"/>
              <w:jc w:val="left"/>
              <w:rPr>
                <w:rFonts w:ascii="宋体" w:eastAsia="宋体" w:hAnsi="宋体" w:cs="宋体"/>
                <w:kern w:val="0"/>
                <w:sz w:val="24"/>
                <w:szCs w:val="24"/>
              </w:rPr>
            </w:pPr>
            <w:r w:rsidRPr="00570611">
              <w:rPr>
                <w:rFonts w:ascii="宋体" w:eastAsia="宋体" w:hAnsi="宋体" w:cs="宋体"/>
                <w:color w:val="666666"/>
                <w:kern w:val="0"/>
                <w:sz w:val="24"/>
                <w:szCs w:val="24"/>
              </w:rPr>
              <w:t>以国家食品药品监督管理部门颁发的药品质量标准判定</w:t>
            </w:r>
          </w:p>
        </w:tc>
        <w:tc>
          <w:tcPr>
            <w:tcW w:w="828" w:type="dxa"/>
            <w:tcBorders>
              <w:top w:val="nil"/>
              <w:left w:val="nil"/>
              <w:bottom w:val="single" w:sz="8" w:space="0" w:color="auto"/>
              <w:right w:val="single" w:sz="8" w:space="0" w:color="auto"/>
            </w:tcBorders>
            <w:shd w:val="clear" w:color="auto" w:fill="auto"/>
            <w:vAlign w:val="center"/>
            <w:hideMark/>
          </w:tcPr>
          <w:p w:rsidR="00570611" w:rsidRPr="00570611" w:rsidRDefault="00570611" w:rsidP="00570611">
            <w:pPr>
              <w:widowControl/>
              <w:spacing w:line="360" w:lineRule="atLeast"/>
              <w:jc w:val="center"/>
              <w:rPr>
                <w:rFonts w:ascii="宋体" w:eastAsia="宋体" w:hAnsi="宋体" w:cs="宋体"/>
                <w:kern w:val="0"/>
                <w:sz w:val="24"/>
                <w:szCs w:val="24"/>
              </w:rPr>
            </w:pPr>
            <w:r w:rsidRPr="00570611">
              <w:rPr>
                <w:rFonts w:ascii="宋体" w:eastAsia="宋体" w:hAnsi="宋体" w:cs="宋体"/>
                <w:color w:val="666666"/>
                <w:kern w:val="0"/>
                <w:sz w:val="24"/>
                <w:szCs w:val="24"/>
              </w:rPr>
              <w:t>7分</w:t>
            </w:r>
          </w:p>
        </w:tc>
      </w:tr>
    </w:tbl>
    <w:p w:rsidR="00570611" w:rsidRPr="00570611" w:rsidRDefault="00570611" w:rsidP="00570611">
      <w:pPr>
        <w:widowControl/>
        <w:spacing w:line="360" w:lineRule="auto"/>
        <w:jc w:val="left"/>
        <w:rPr>
          <w:rFonts w:ascii="宋体" w:eastAsia="宋体" w:hAnsi="宋体" w:cs="宋体"/>
          <w:color w:val="000000"/>
          <w:kern w:val="0"/>
          <w:sz w:val="24"/>
          <w:szCs w:val="24"/>
        </w:rPr>
      </w:pPr>
      <w:r w:rsidRPr="00570611">
        <w:rPr>
          <w:rFonts w:ascii="宋体" w:eastAsia="宋体" w:hAnsi="宋体" w:cs="宋体" w:hint="eastAsia"/>
          <w:color w:val="666666"/>
          <w:kern w:val="0"/>
          <w:sz w:val="24"/>
          <w:szCs w:val="24"/>
        </w:rPr>
        <w:lastRenderedPageBreak/>
        <w:t>备注：</w:t>
      </w:r>
    </w:p>
    <w:p w:rsidR="00570611" w:rsidRPr="00570611" w:rsidRDefault="00570611" w:rsidP="00570611">
      <w:pPr>
        <w:widowControl/>
        <w:spacing w:line="360" w:lineRule="auto"/>
        <w:jc w:val="left"/>
        <w:rPr>
          <w:rFonts w:ascii="宋体" w:eastAsia="宋体" w:hAnsi="宋体" w:cs="宋体" w:hint="eastAsia"/>
          <w:color w:val="000000"/>
          <w:kern w:val="0"/>
          <w:sz w:val="24"/>
          <w:szCs w:val="24"/>
        </w:rPr>
      </w:pPr>
      <w:r w:rsidRPr="00570611">
        <w:rPr>
          <w:rFonts w:ascii="宋体" w:eastAsia="宋体" w:hAnsi="宋体" w:cs="宋体" w:hint="eastAsia"/>
          <w:b/>
          <w:bCs/>
          <w:color w:val="000000"/>
          <w:kern w:val="0"/>
          <w:sz w:val="24"/>
          <w:szCs w:val="24"/>
        </w:rPr>
        <w:t>  </w:t>
      </w:r>
      <w:r w:rsidRPr="00570611">
        <w:rPr>
          <w:rFonts w:ascii="宋体" w:eastAsia="宋体" w:hAnsi="宋体" w:cs="宋体" w:hint="eastAsia"/>
          <w:color w:val="666666"/>
          <w:kern w:val="0"/>
          <w:sz w:val="24"/>
          <w:szCs w:val="24"/>
        </w:rPr>
        <w:t>1.同一评价指标中，同一品种按就高不就低的原则赋分。</w:t>
      </w:r>
    </w:p>
    <w:p w:rsidR="00570611" w:rsidRPr="00570611" w:rsidRDefault="00570611" w:rsidP="00570611">
      <w:pPr>
        <w:widowControl/>
        <w:spacing w:line="360" w:lineRule="auto"/>
        <w:jc w:val="left"/>
        <w:rPr>
          <w:rFonts w:ascii="宋体" w:eastAsia="宋体" w:hAnsi="宋体" w:cs="宋体" w:hint="eastAsia"/>
          <w:color w:val="000000"/>
          <w:kern w:val="0"/>
          <w:sz w:val="24"/>
          <w:szCs w:val="24"/>
        </w:rPr>
      </w:pPr>
      <w:r w:rsidRPr="00570611">
        <w:rPr>
          <w:rFonts w:ascii="宋体" w:eastAsia="宋体" w:hAnsi="宋体" w:cs="宋体" w:hint="eastAsia"/>
          <w:b/>
          <w:bCs/>
          <w:color w:val="000000"/>
          <w:kern w:val="0"/>
          <w:sz w:val="24"/>
          <w:szCs w:val="24"/>
        </w:rPr>
        <w:t>  </w:t>
      </w:r>
      <w:r w:rsidRPr="00570611">
        <w:rPr>
          <w:rFonts w:ascii="宋体" w:eastAsia="宋体" w:hAnsi="宋体" w:cs="宋体" w:hint="eastAsia"/>
          <w:color w:val="666666"/>
          <w:kern w:val="0"/>
          <w:sz w:val="24"/>
          <w:szCs w:val="24"/>
        </w:rPr>
        <w:t>2.进口品种（</w:t>
      </w:r>
      <w:bookmarkStart w:id="0" w:name="_GoBack"/>
      <w:bookmarkEnd w:id="0"/>
      <w:r w:rsidRPr="00570611">
        <w:rPr>
          <w:rFonts w:ascii="宋体" w:eastAsia="宋体" w:hAnsi="宋体" w:cs="宋体" w:hint="eastAsia"/>
          <w:color w:val="666666"/>
          <w:kern w:val="0"/>
          <w:sz w:val="24"/>
          <w:szCs w:val="24"/>
        </w:rPr>
        <w:t>含进口分包装品种）的“GMP资质认证情况”按7分赋分。未获GMP认证的企业委托GMP认证企业生产的药品按0分赋分。</w:t>
      </w:r>
    </w:p>
    <w:p w:rsidR="00570611" w:rsidRPr="00570611" w:rsidRDefault="00570611" w:rsidP="00570611">
      <w:pPr>
        <w:widowControl/>
        <w:spacing w:line="360" w:lineRule="auto"/>
        <w:jc w:val="left"/>
        <w:rPr>
          <w:rFonts w:ascii="宋体" w:eastAsia="宋体" w:hAnsi="宋体" w:cs="宋体" w:hint="eastAsia"/>
          <w:color w:val="000000"/>
          <w:kern w:val="0"/>
          <w:sz w:val="24"/>
          <w:szCs w:val="24"/>
        </w:rPr>
      </w:pPr>
      <w:r w:rsidRPr="00570611">
        <w:rPr>
          <w:rFonts w:ascii="宋体" w:eastAsia="宋体" w:hAnsi="宋体" w:cs="宋体" w:hint="eastAsia"/>
          <w:b/>
          <w:bCs/>
          <w:color w:val="000000"/>
          <w:kern w:val="0"/>
          <w:sz w:val="24"/>
          <w:szCs w:val="24"/>
        </w:rPr>
        <w:t>  </w:t>
      </w:r>
      <w:r w:rsidRPr="00570611">
        <w:rPr>
          <w:rFonts w:ascii="宋体" w:eastAsia="宋体" w:hAnsi="宋体" w:cs="宋体" w:hint="eastAsia"/>
          <w:color w:val="666666"/>
          <w:kern w:val="0"/>
          <w:sz w:val="24"/>
          <w:szCs w:val="24"/>
        </w:rPr>
        <w:t>3.“药品质量抽验抽查情况”以上一年度国家和广东省食品药品监督管理部门公布的药品质量公告为依据。</w:t>
      </w:r>
    </w:p>
    <w:p w:rsidR="00570611" w:rsidRPr="00570611" w:rsidRDefault="00570611" w:rsidP="00570611">
      <w:pPr>
        <w:widowControl/>
        <w:spacing w:line="360" w:lineRule="auto"/>
        <w:jc w:val="left"/>
        <w:rPr>
          <w:rFonts w:ascii="宋体" w:eastAsia="宋体" w:hAnsi="宋体" w:cs="宋体" w:hint="eastAsia"/>
          <w:color w:val="000000"/>
          <w:kern w:val="0"/>
          <w:sz w:val="24"/>
          <w:szCs w:val="24"/>
        </w:rPr>
      </w:pPr>
      <w:r w:rsidRPr="00570611">
        <w:rPr>
          <w:rFonts w:ascii="宋体" w:eastAsia="宋体" w:hAnsi="宋体" w:cs="宋体" w:hint="eastAsia"/>
          <w:b/>
          <w:bCs/>
          <w:color w:val="000000"/>
          <w:kern w:val="0"/>
          <w:sz w:val="24"/>
          <w:szCs w:val="24"/>
        </w:rPr>
        <w:t>  </w:t>
      </w:r>
      <w:r w:rsidRPr="00570611">
        <w:rPr>
          <w:rFonts w:ascii="宋体" w:eastAsia="宋体" w:hAnsi="宋体" w:cs="宋体" w:hint="eastAsia"/>
          <w:color w:val="666666"/>
          <w:kern w:val="0"/>
          <w:sz w:val="24"/>
          <w:szCs w:val="24"/>
        </w:rPr>
        <w:t>4.进口品种（含进口分包装品种）的“生产规模”按16分赋分。</w:t>
      </w:r>
    </w:p>
    <w:p w:rsidR="00570611" w:rsidRPr="00570611" w:rsidRDefault="00570611" w:rsidP="00570611">
      <w:pPr>
        <w:widowControl/>
        <w:spacing w:line="360" w:lineRule="auto"/>
        <w:jc w:val="left"/>
        <w:rPr>
          <w:rFonts w:ascii="宋体" w:eastAsia="宋体" w:hAnsi="宋体" w:cs="宋体" w:hint="eastAsia"/>
          <w:color w:val="000000"/>
          <w:kern w:val="0"/>
          <w:sz w:val="24"/>
          <w:szCs w:val="24"/>
        </w:rPr>
      </w:pPr>
      <w:r w:rsidRPr="00570611">
        <w:rPr>
          <w:rFonts w:ascii="宋体" w:eastAsia="宋体" w:hAnsi="宋体" w:cs="宋体" w:hint="eastAsia"/>
          <w:b/>
          <w:bCs/>
          <w:color w:val="000000"/>
          <w:kern w:val="0"/>
          <w:sz w:val="24"/>
          <w:szCs w:val="24"/>
        </w:rPr>
        <w:t>  </w:t>
      </w:r>
      <w:r w:rsidRPr="00570611">
        <w:rPr>
          <w:rFonts w:ascii="宋体" w:eastAsia="宋体" w:hAnsi="宋体" w:cs="宋体" w:hint="eastAsia"/>
          <w:color w:val="666666"/>
          <w:kern w:val="0"/>
          <w:sz w:val="24"/>
          <w:szCs w:val="24"/>
        </w:rPr>
        <w:t>5.企业排名按照工业和信息化部组织编制的最新一期《中国医药统计年报》医药企业排序名单为准。</w:t>
      </w:r>
    </w:p>
    <w:p w:rsidR="00570611" w:rsidRPr="00570611" w:rsidRDefault="00570611" w:rsidP="00570611">
      <w:pPr>
        <w:widowControl/>
        <w:spacing w:line="360" w:lineRule="auto"/>
        <w:jc w:val="left"/>
        <w:rPr>
          <w:rFonts w:ascii="宋体" w:eastAsia="宋体" w:hAnsi="宋体" w:cs="宋体" w:hint="eastAsia"/>
          <w:color w:val="000000"/>
          <w:kern w:val="0"/>
          <w:sz w:val="24"/>
          <w:szCs w:val="24"/>
        </w:rPr>
      </w:pPr>
      <w:r w:rsidRPr="00570611">
        <w:rPr>
          <w:rFonts w:ascii="宋体" w:eastAsia="宋体" w:hAnsi="宋体" w:cs="宋体" w:hint="eastAsia"/>
          <w:b/>
          <w:bCs/>
          <w:color w:val="000000"/>
          <w:kern w:val="0"/>
          <w:sz w:val="24"/>
          <w:szCs w:val="24"/>
        </w:rPr>
        <w:t>  </w:t>
      </w:r>
      <w:r w:rsidRPr="00570611">
        <w:rPr>
          <w:rFonts w:ascii="宋体" w:eastAsia="宋体" w:hAnsi="宋体" w:cs="宋体" w:hint="eastAsia"/>
          <w:color w:val="666666"/>
          <w:kern w:val="0"/>
          <w:sz w:val="24"/>
          <w:szCs w:val="24"/>
        </w:rPr>
        <w:t>6.“配送能力”、“生产企业市场信誉记录”、“产品广东省总销售额”以省第三方药品电子交易平台上一年度网上交易数据为依据赋分。</w:t>
      </w:r>
    </w:p>
    <w:p w:rsidR="00570611" w:rsidRPr="00570611" w:rsidRDefault="00570611" w:rsidP="00570611">
      <w:pPr>
        <w:widowControl/>
        <w:spacing w:line="360" w:lineRule="auto"/>
        <w:jc w:val="left"/>
        <w:rPr>
          <w:rFonts w:ascii="宋体" w:eastAsia="宋体" w:hAnsi="宋体" w:cs="宋体" w:hint="eastAsia"/>
          <w:color w:val="000000"/>
          <w:kern w:val="0"/>
          <w:sz w:val="24"/>
          <w:szCs w:val="24"/>
        </w:rPr>
      </w:pPr>
      <w:r w:rsidRPr="00570611">
        <w:rPr>
          <w:rFonts w:ascii="宋体" w:eastAsia="宋体" w:hAnsi="宋体" w:cs="宋体" w:hint="eastAsia"/>
          <w:b/>
          <w:bCs/>
          <w:color w:val="000000"/>
          <w:kern w:val="0"/>
          <w:sz w:val="24"/>
          <w:szCs w:val="24"/>
        </w:rPr>
        <w:t>  </w:t>
      </w:r>
      <w:r w:rsidRPr="00570611">
        <w:rPr>
          <w:rFonts w:ascii="宋体" w:eastAsia="宋体" w:hAnsi="宋体" w:cs="宋体" w:hint="eastAsia"/>
          <w:color w:val="666666"/>
          <w:kern w:val="0"/>
          <w:sz w:val="24"/>
          <w:szCs w:val="24"/>
        </w:rPr>
        <w:t>7.“被公布的不供货、不足量或不及时供货药品交易违规行为”以广东省卫生计生主管部门公布为准。</w:t>
      </w:r>
    </w:p>
    <w:p w:rsidR="00570611" w:rsidRPr="00570611" w:rsidRDefault="00570611" w:rsidP="00570611">
      <w:pPr>
        <w:widowControl/>
        <w:spacing w:line="360" w:lineRule="auto"/>
        <w:jc w:val="left"/>
        <w:rPr>
          <w:rFonts w:ascii="宋体" w:eastAsia="宋体" w:hAnsi="宋体" w:cs="宋体" w:hint="eastAsia"/>
          <w:color w:val="000000"/>
          <w:kern w:val="0"/>
          <w:sz w:val="24"/>
          <w:szCs w:val="24"/>
        </w:rPr>
      </w:pPr>
      <w:r w:rsidRPr="00570611">
        <w:rPr>
          <w:rFonts w:ascii="宋体" w:eastAsia="宋体" w:hAnsi="宋体" w:cs="宋体" w:hint="eastAsia"/>
          <w:b/>
          <w:bCs/>
          <w:color w:val="000000"/>
          <w:kern w:val="0"/>
          <w:sz w:val="24"/>
          <w:szCs w:val="24"/>
        </w:rPr>
        <w:t>  </w:t>
      </w:r>
      <w:r w:rsidRPr="00570611">
        <w:rPr>
          <w:rFonts w:ascii="宋体" w:eastAsia="宋体" w:hAnsi="宋体" w:cs="宋体" w:hint="eastAsia"/>
          <w:color w:val="666666"/>
          <w:kern w:val="0"/>
          <w:sz w:val="24"/>
          <w:szCs w:val="24"/>
        </w:rPr>
        <w:t>8.以国家食品药品监督管理部门颁发的药品注册批件（或新药证书）为依据。过期专利药按照12分赋分。</w:t>
      </w:r>
    </w:p>
    <w:p w:rsidR="00570611" w:rsidRPr="00570611" w:rsidRDefault="00570611" w:rsidP="00570611">
      <w:pPr>
        <w:widowControl/>
        <w:spacing w:line="360" w:lineRule="auto"/>
        <w:jc w:val="left"/>
        <w:rPr>
          <w:rFonts w:ascii="宋体" w:eastAsia="宋体" w:hAnsi="宋体" w:cs="宋体" w:hint="eastAsia"/>
          <w:color w:val="000000"/>
          <w:kern w:val="0"/>
          <w:sz w:val="24"/>
          <w:szCs w:val="24"/>
        </w:rPr>
      </w:pPr>
      <w:r w:rsidRPr="00570611">
        <w:rPr>
          <w:rFonts w:ascii="宋体" w:eastAsia="宋体" w:hAnsi="宋体" w:cs="宋体" w:hint="eastAsia"/>
          <w:b/>
          <w:bCs/>
          <w:color w:val="000000"/>
          <w:kern w:val="0"/>
          <w:sz w:val="24"/>
          <w:szCs w:val="24"/>
        </w:rPr>
        <w:t>  </w:t>
      </w:r>
      <w:r w:rsidRPr="00570611">
        <w:rPr>
          <w:rFonts w:ascii="宋体" w:eastAsia="宋体" w:hAnsi="宋体" w:cs="宋体" w:hint="eastAsia"/>
          <w:color w:val="666666"/>
          <w:kern w:val="0"/>
          <w:sz w:val="24"/>
          <w:szCs w:val="24"/>
        </w:rPr>
        <w:t>9.“药品质量标准起草单位对应药品”，过期专利药按照7分赋分。</w:t>
      </w:r>
    </w:p>
    <w:p w:rsidR="00570611" w:rsidRPr="00570611" w:rsidRDefault="00570611" w:rsidP="00570611">
      <w:pPr>
        <w:widowControl/>
        <w:spacing w:line="360" w:lineRule="auto"/>
        <w:jc w:val="left"/>
        <w:rPr>
          <w:rFonts w:ascii="宋体" w:eastAsia="宋体" w:hAnsi="宋体" w:cs="宋体" w:hint="eastAsia"/>
          <w:color w:val="000000"/>
          <w:kern w:val="0"/>
          <w:szCs w:val="21"/>
        </w:rPr>
      </w:pPr>
      <w:r w:rsidRPr="00570611">
        <w:rPr>
          <w:rFonts w:ascii="宋体" w:eastAsia="宋体" w:hAnsi="宋体" w:cs="宋体" w:hint="eastAsia"/>
          <w:b/>
          <w:bCs/>
          <w:color w:val="000000"/>
          <w:kern w:val="0"/>
          <w:sz w:val="24"/>
          <w:szCs w:val="24"/>
        </w:rPr>
        <w:t>  </w:t>
      </w:r>
      <w:r w:rsidRPr="00570611">
        <w:rPr>
          <w:rFonts w:ascii="宋体" w:eastAsia="宋体" w:hAnsi="宋体" w:cs="宋体" w:hint="eastAsia"/>
          <w:color w:val="666666"/>
          <w:kern w:val="0"/>
          <w:sz w:val="24"/>
          <w:szCs w:val="24"/>
        </w:rPr>
        <w:t>10.新增产品及上一年度未成交品种，涉及上一年度相关指标无法提供的，按现有第二档次（指标未划分档次的按基础分）赋分。</w:t>
      </w:r>
    </w:p>
    <w:p w:rsidR="00D74506" w:rsidRPr="00570611" w:rsidRDefault="00D74506"/>
    <w:sectPr w:rsidR="00D74506" w:rsidRPr="00570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9AD" w:rsidRDefault="00EA49AD" w:rsidP="00570611">
      <w:r>
        <w:separator/>
      </w:r>
    </w:p>
  </w:endnote>
  <w:endnote w:type="continuationSeparator" w:id="0">
    <w:p w:rsidR="00EA49AD" w:rsidRDefault="00EA49AD" w:rsidP="0057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9AD" w:rsidRDefault="00EA49AD" w:rsidP="00570611">
      <w:r>
        <w:separator/>
      </w:r>
    </w:p>
  </w:footnote>
  <w:footnote w:type="continuationSeparator" w:id="0">
    <w:p w:rsidR="00EA49AD" w:rsidRDefault="00EA49AD" w:rsidP="00570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8D"/>
    <w:rsid w:val="00570611"/>
    <w:rsid w:val="008F288D"/>
    <w:rsid w:val="00D74506"/>
    <w:rsid w:val="00EA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093B9"/>
  <w15:chartTrackingRefBased/>
  <w15:docId w15:val="{149289D3-3B01-4C3B-8F74-612915EB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6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0611"/>
    <w:rPr>
      <w:sz w:val="18"/>
      <w:szCs w:val="18"/>
    </w:rPr>
  </w:style>
  <w:style w:type="paragraph" w:styleId="a5">
    <w:name w:val="footer"/>
    <w:basedOn w:val="a"/>
    <w:link w:val="a6"/>
    <w:uiPriority w:val="99"/>
    <w:unhideWhenUsed/>
    <w:rsid w:val="00570611"/>
    <w:pPr>
      <w:tabs>
        <w:tab w:val="center" w:pos="4153"/>
        <w:tab w:val="right" w:pos="8306"/>
      </w:tabs>
      <w:snapToGrid w:val="0"/>
      <w:jc w:val="left"/>
    </w:pPr>
    <w:rPr>
      <w:sz w:val="18"/>
      <w:szCs w:val="18"/>
    </w:rPr>
  </w:style>
  <w:style w:type="character" w:customStyle="1" w:styleId="a6">
    <w:name w:val="页脚 字符"/>
    <w:basedOn w:val="a0"/>
    <w:link w:val="a5"/>
    <w:uiPriority w:val="99"/>
    <w:rsid w:val="00570611"/>
    <w:rPr>
      <w:sz w:val="18"/>
      <w:szCs w:val="18"/>
    </w:rPr>
  </w:style>
  <w:style w:type="character" w:styleId="a7">
    <w:name w:val="Strong"/>
    <w:basedOn w:val="a0"/>
    <w:uiPriority w:val="22"/>
    <w:qFormat/>
    <w:rsid w:val="00570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985065">
      <w:bodyDiv w:val="1"/>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
        <w:div w:id="525103011">
          <w:marLeft w:val="0"/>
          <w:marRight w:val="0"/>
          <w:marTop w:val="0"/>
          <w:marBottom w:val="0"/>
          <w:divBdr>
            <w:top w:val="none" w:sz="0" w:space="0" w:color="auto"/>
            <w:left w:val="none" w:sz="0" w:space="0" w:color="auto"/>
            <w:bottom w:val="none" w:sz="0" w:space="0" w:color="auto"/>
            <w:right w:val="none" w:sz="0" w:space="0" w:color="auto"/>
          </w:divBdr>
        </w:div>
        <w:div w:id="1689865616">
          <w:marLeft w:val="0"/>
          <w:marRight w:val="0"/>
          <w:marTop w:val="0"/>
          <w:marBottom w:val="0"/>
          <w:divBdr>
            <w:top w:val="none" w:sz="0" w:space="0" w:color="auto"/>
            <w:left w:val="none" w:sz="0" w:space="0" w:color="auto"/>
            <w:bottom w:val="none" w:sz="0" w:space="0" w:color="auto"/>
            <w:right w:val="none" w:sz="0" w:space="0" w:color="auto"/>
          </w:divBdr>
        </w:div>
        <w:div w:id="467936497">
          <w:marLeft w:val="0"/>
          <w:marRight w:val="0"/>
          <w:marTop w:val="0"/>
          <w:marBottom w:val="0"/>
          <w:divBdr>
            <w:top w:val="none" w:sz="0" w:space="0" w:color="auto"/>
            <w:left w:val="none" w:sz="0" w:space="0" w:color="auto"/>
            <w:bottom w:val="none" w:sz="0" w:space="0" w:color="auto"/>
            <w:right w:val="none" w:sz="0" w:space="0" w:color="auto"/>
          </w:divBdr>
        </w:div>
        <w:div w:id="1361204431">
          <w:marLeft w:val="0"/>
          <w:marRight w:val="0"/>
          <w:marTop w:val="0"/>
          <w:marBottom w:val="0"/>
          <w:divBdr>
            <w:top w:val="none" w:sz="0" w:space="0" w:color="auto"/>
            <w:left w:val="none" w:sz="0" w:space="0" w:color="auto"/>
            <w:bottom w:val="none" w:sz="0" w:space="0" w:color="auto"/>
            <w:right w:val="none" w:sz="0" w:space="0" w:color="auto"/>
          </w:divBdr>
        </w:div>
        <w:div w:id="592397230">
          <w:marLeft w:val="0"/>
          <w:marRight w:val="0"/>
          <w:marTop w:val="0"/>
          <w:marBottom w:val="0"/>
          <w:divBdr>
            <w:top w:val="none" w:sz="0" w:space="0" w:color="auto"/>
            <w:left w:val="none" w:sz="0" w:space="0" w:color="auto"/>
            <w:bottom w:val="none" w:sz="0" w:space="0" w:color="auto"/>
            <w:right w:val="none" w:sz="0" w:space="0" w:color="auto"/>
          </w:divBdr>
        </w:div>
        <w:div w:id="82606807">
          <w:marLeft w:val="0"/>
          <w:marRight w:val="0"/>
          <w:marTop w:val="0"/>
          <w:marBottom w:val="0"/>
          <w:divBdr>
            <w:top w:val="none" w:sz="0" w:space="0" w:color="auto"/>
            <w:left w:val="none" w:sz="0" w:space="0" w:color="auto"/>
            <w:bottom w:val="none" w:sz="0" w:space="0" w:color="auto"/>
            <w:right w:val="none" w:sz="0" w:space="0" w:color="auto"/>
          </w:divBdr>
        </w:div>
        <w:div w:id="956106432">
          <w:marLeft w:val="0"/>
          <w:marRight w:val="0"/>
          <w:marTop w:val="0"/>
          <w:marBottom w:val="0"/>
          <w:divBdr>
            <w:top w:val="none" w:sz="0" w:space="0" w:color="auto"/>
            <w:left w:val="none" w:sz="0" w:space="0" w:color="auto"/>
            <w:bottom w:val="none" w:sz="0" w:space="0" w:color="auto"/>
            <w:right w:val="none" w:sz="0" w:space="0" w:color="auto"/>
          </w:divBdr>
        </w:div>
        <w:div w:id="235482813">
          <w:marLeft w:val="0"/>
          <w:marRight w:val="0"/>
          <w:marTop w:val="0"/>
          <w:marBottom w:val="0"/>
          <w:divBdr>
            <w:top w:val="none" w:sz="0" w:space="0" w:color="auto"/>
            <w:left w:val="none" w:sz="0" w:space="0" w:color="auto"/>
            <w:bottom w:val="none" w:sz="0" w:space="0" w:color="auto"/>
            <w:right w:val="none" w:sz="0" w:space="0" w:color="auto"/>
          </w:divBdr>
        </w:div>
        <w:div w:id="531192649">
          <w:marLeft w:val="0"/>
          <w:marRight w:val="0"/>
          <w:marTop w:val="0"/>
          <w:marBottom w:val="0"/>
          <w:divBdr>
            <w:top w:val="none" w:sz="0" w:space="0" w:color="auto"/>
            <w:left w:val="none" w:sz="0" w:space="0" w:color="auto"/>
            <w:bottom w:val="none" w:sz="0" w:space="0" w:color="auto"/>
            <w:right w:val="none" w:sz="0" w:space="0" w:color="auto"/>
          </w:divBdr>
        </w:div>
        <w:div w:id="421687388">
          <w:marLeft w:val="0"/>
          <w:marRight w:val="0"/>
          <w:marTop w:val="0"/>
          <w:marBottom w:val="0"/>
          <w:divBdr>
            <w:top w:val="none" w:sz="0" w:space="0" w:color="auto"/>
            <w:left w:val="none" w:sz="0" w:space="0" w:color="auto"/>
            <w:bottom w:val="none" w:sz="0" w:space="0" w:color="auto"/>
            <w:right w:val="none" w:sz="0" w:space="0" w:color="auto"/>
          </w:divBdr>
        </w:div>
        <w:div w:id="411970761">
          <w:marLeft w:val="0"/>
          <w:marRight w:val="0"/>
          <w:marTop w:val="0"/>
          <w:marBottom w:val="0"/>
          <w:divBdr>
            <w:top w:val="none" w:sz="0" w:space="0" w:color="auto"/>
            <w:left w:val="none" w:sz="0" w:space="0" w:color="auto"/>
            <w:bottom w:val="none" w:sz="0" w:space="0" w:color="auto"/>
            <w:right w:val="none" w:sz="0" w:space="0" w:color="auto"/>
          </w:divBdr>
        </w:div>
        <w:div w:id="911157206">
          <w:marLeft w:val="0"/>
          <w:marRight w:val="0"/>
          <w:marTop w:val="0"/>
          <w:marBottom w:val="0"/>
          <w:divBdr>
            <w:top w:val="none" w:sz="0" w:space="0" w:color="auto"/>
            <w:left w:val="none" w:sz="0" w:space="0" w:color="auto"/>
            <w:bottom w:val="none" w:sz="0" w:space="0" w:color="auto"/>
            <w:right w:val="none" w:sz="0" w:space="0" w:color="auto"/>
          </w:divBdr>
        </w:div>
        <w:div w:id="1388261053">
          <w:marLeft w:val="0"/>
          <w:marRight w:val="0"/>
          <w:marTop w:val="0"/>
          <w:marBottom w:val="0"/>
          <w:divBdr>
            <w:top w:val="none" w:sz="0" w:space="0" w:color="auto"/>
            <w:left w:val="none" w:sz="0" w:space="0" w:color="auto"/>
            <w:bottom w:val="none" w:sz="0" w:space="0" w:color="auto"/>
            <w:right w:val="none" w:sz="0" w:space="0" w:color="auto"/>
          </w:divBdr>
        </w:div>
        <w:div w:id="644554620">
          <w:marLeft w:val="0"/>
          <w:marRight w:val="0"/>
          <w:marTop w:val="0"/>
          <w:marBottom w:val="0"/>
          <w:divBdr>
            <w:top w:val="none" w:sz="0" w:space="0" w:color="auto"/>
            <w:left w:val="none" w:sz="0" w:space="0" w:color="auto"/>
            <w:bottom w:val="none" w:sz="0" w:space="0" w:color="auto"/>
            <w:right w:val="none" w:sz="0" w:space="0" w:color="auto"/>
          </w:divBdr>
        </w:div>
        <w:div w:id="1656302401">
          <w:marLeft w:val="0"/>
          <w:marRight w:val="0"/>
          <w:marTop w:val="0"/>
          <w:marBottom w:val="0"/>
          <w:divBdr>
            <w:top w:val="none" w:sz="0" w:space="0" w:color="auto"/>
            <w:left w:val="none" w:sz="0" w:space="0" w:color="auto"/>
            <w:bottom w:val="none" w:sz="0" w:space="0" w:color="auto"/>
            <w:right w:val="none" w:sz="0" w:space="0" w:color="auto"/>
          </w:divBdr>
        </w:div>
        <w:div w:id="2082242413">
          <w:marLeft w:val="0"/>
          <w:marRight w:val="0"/>
          <w:marTop w:val="0"/>
          <w:marBottom w:val="0"/>
          <w:divBdr>
            <w:top w:val="none" w:sz="0" w:space="0" w:color="auto"/>
            <w:left w:val="none" w:sz="0" w:space="0" w:color="auto"/>
            <w:bottom w:val="none" w:sz="0" w:space="0" w:color="auto"/>
            <w:right w:val="none" w:sz="0" w:space="0" w:color="auto"/>
          </w:divBdr>
        </w:div>
        <w:div w:id="546140496">
          <w:marLeft w:val="0"/>
          <w:marRight w:val="0"/>
          <w:marTop w:val="0"/>
          <w:marBottom w:val="0"/>
          <w:divBdr>
            <w:top w:val="none" w:sz="0" w:space="0" w:color="auto"/>
            <w:left w:val="none" w:sz="0" w:space="0" w:color="auto"/>
            <w:bottom w:val="none" w:sz="0" w:space="0" w:color="auto"/>
            <w:right w:val="none" w:sz="0" w:space="0" w:color="auto"/>
          </w:divBdr>
        </w:div>
        <w:div w:id="593057695">
          <w:marLeft w:val="0"/>
          <w:marRight w:val="0"/>
          <w:marTop w:val="0"/>
          <w:marBottom w:val="0"/>
          <w:divBdr>
            <w:top w:val="none" w:sz="0" w:space="0" w:color="auto"/>
            <w:left w:val="none" w:sz="0" w:space="0" w:color="auto"/>
            <w:bottom w:val="none" w:sz="0" w:space="0" w:color="auto"/>
            <w:right w:val="none" w:sz="0" w:space="0" w:color="auto"/>
          </w:divBdr>
        </w:div>
        <w:div w:id="172649498">
          <w:marLeft w:val="0"/>
          <w:marRight w:val="0"/>
          <w:marTop w:val="0"/>
          <w:marBottom w:val="0"/>
          <w:divBdr>
            <w:top w:val="none" w:sz="0" w:space="0" w:color="auto"/>
            <w:left w:val="none" w:sz="0" w:space="0" w:color="auto"/>
            <w:bottom w:val="none" w:sz="0" w:space="0" w:color="auto"/>
            <w:right w:val="none" w:sz="0" w:space="0" w:color="auto"/>
          </w:divBdr>
        </w:div>
        <w:div w:id="1065836339">
          <w:marLeft w:val="0"/>
          <w:marRight w:val="0"/>
          <w:marTop w:val="0"/>
          <w:marBottom w:val="0"/>
          <w:divBdr>
            <w:top w:val="none" w:sz="0" w:space="0" w:color="auto"/>
            <w:left w:val="none" w:sz="0" w:space="0" w:color="auto"/>
            <w:bottom w:val="none" w:sz="0" w:space="0" w:color="auto"/>
            <w:right w:val="none" w:sz="0" w:space="0" w:color="auto"/>
          </w:divBdr>
        </w:div>
        <w:div w:id="1375077761">
          <w:marLeft w:val="0"/>
          <w:marRight w:val="0"/>
          <w:marTop w:val="0"/>
          <w:marBottom w:val="0"/>
          <w:divBdr>
            <w:top w:val="none" w:sz="0" w:space="0" w:color="auto"/>
            <w:left w:val="none" w:sz="0" w:space="0" w:color="auto"/>
            <w:bottom w:val="none" w:sz="0" w:space="0" w:color="auto"/>
            <w:right w:val="none" w:sz="0" w:space="0" w:color="auto"/>
          </w:divBdr>
        </w:div>
        <w:div w:id="976228835">
          <w:marLeft w:val="0"/>
          <w:marRight w:val="0"/>
          <w:marTop w:val="0"/>
          <w:marBottom w:val="0"/>
          <w:divBdr>
            <w:top w:val="none" w:sz="0" w:space="0" w:color="auto"/>
            <w:left w:val="none" w:sz="0" w:space="0" w:color="auto"/>
            <w:bottom w:val="none" w:sz="0" w:space="0" w:color="auto"/>
            <w:right w:val="none" w:sz="0" w:space="0" w:color="auto"/>
          </w:divBdr>
        </w:div>
        <w:div w:id="1180312135">
          <w:marLeft w:val="0"/>
          <w:marRight w:val="0"/>
          <w:marTop w:val="0"/>
          <w:marBottom w:val="0"/>
          <w:divBdr>
            <w:top w:val="none" w:sz="0" w:space="0" w:color="auto"/>
            <w:left w:val="none" w:sz="0" w:space="0" w:color="auto"/>
            <w:bottom w:val="none" w:sz="0" w:space="0" w:color="auto"/>
            <w:right w:val="none" w:sz="0" w:space="0" w:color="auto"/>
          </w:divBdr>
        </w:div>
        <w:div w:id="464935164">
          <w:marLeft w:val="0"/>
          <w:marRight w:val="0"/>
          <w:marTop w:val="0"/>
          <w:marBottom w:val="0"/>
          <w:divBdr>
            <w:top w:val="none" w:sz="0" w:space="0" w:color="auto"/>
            <w:left w:val="none" w:sz="0" w:space="0" w:color="auto"/>
            <w:bottom w:val="none" w:sz="0" w:space="0" w:color="auto"/>
            <w:right w:val="none" w:sz="0" w:space="0" w:color="auto"/>
          </w:divBdr>
        </w:div>
        <w:div w:id="1305428685">
          <w:marLeft w:val="0"/>
          <w:marRight w:val="0"/>
          <w:marTop w:val="0"/>
          <w:marBottom w:val="0"/>
          <w:divBdr>
            <w:top w:val="none" w:sz="0" w:space="0" w:color="auto"/>
            <w:left w:val="none" w:sz="0" w:space="0" w:color="auto"/>
            <w:bottom w:val="none" w:sz="0" w:space="0" w:color="auto"/>
            <w:right w:val="none" w:sz="0" w:space="0" w:color="auto"/>
          </w:divBdr>
        </w:div>
        <w:div w:id="1209148280">
          <w:marLeft w:val="0"/>
          <w:marRight w:val="0"/>
          <w:marTop w:val="0"/>
          <w:marBottom w:val="0"/>
          <w:divBdr>
            <w:top w:val="none" w:sz="0" w:space="0" w:color="auto"/>
            <w:left w:val="none" w:sz="0" w:space="0" w:color="auto"/>
            <w:bottom w:val="none" w:sz="0" w:space="0" w:color="auto"/>
            <w:right w:val="none" w:sz="0" w:space="0" w:color="auto"/>
          </w:divBdr>
        </w:div>
        <w:div w:id="924999853">
          <w:marLeft w:val="0"/>
          <w:marRight w:val="0"/>
          <w:marTop w:val="0"/>
          <w:marBottom w:val="0"/>
          <w:divBdr>
            <w:top w:val="none" w:sz="0" w:space="0" w:color="auto"/>
            <w:left w:val="none" w:sz="0" w:space="0" w:color="auto"/>
            <w:bottom w:val="none" w:sz="0" w:space="0" w:color="auto"/>
            <w:right w:val="none" w:sz="0" w:space="0" w:color="auto"/>
          </w:divBdr>
        </w:div>
        <w:div w:id="1992100466">
          <w:marLeft w:val="0"/>
          <w:marRight w:val="0"/>
          <w:marTop w:val="0"/>
          <w:marBottom w:val="0"/>
          <w:divBdr>
            <w:top w:val="none" w:sz="0" w:space="0" w:color="auto"/>
            <w:left w:val="none" w:sz="0" w:space="0" w:color="auto"/>
            <w:bottom w:val="none" w:sz="0" w:space="0" w:color="auto"/>
            <w:right w:val="none" w:sz="0" w:space="0" w:color="auto"/>
          </w:divBdr>
        </w:div>
        <w:div w:id="1132016334">
          <w:marLeft w:val="0"/>
          <w:marRight w:val="0"/>
          <w:marTop w:val="0"/>
          <w:marBottom w:val="0"/>
          <w:divBdr>
            <w:top w:val="none" w:sz="0" w:space="0" w:color="auto"/>
            <w:left w:val="none" w:sz="0" w:space="0" w:color="auto"/>
            <w:bottom w:val="none" w:sz="0" w:space="0" w:color="auto"/>
            <w:right w:val="none" w:sz="0" w:space="0" w:color="auto"/>
          </w:divBdr>
        </w:div>
        <w:div w:id="664670980">
          <w:marLeft w:val="0"/>
          <w:marRight w:val="0"/>
          <w:marTop w:val="0"/>
          <w:marBottom w:val="0"/>
          <w:divBdr>
            <w:top w:val="none" w:sz="0" w:space="0" w:color="auto"/>
            <w:left w:val="none" w:sz="0" w:space="0" w:color="auto"/>
            <w:bottom w:val="none" w:sz="0" w:space="0" w:color="auto"/>
            <w:right w:val="none" w:sz="0" w:space="0" w:color="auto"/>
          </w:divBdr>
        </w:div>
        <w:div w:id="536815755">
          <w:marLeft w:val="0"/>
          <w:marRight w:val="0"/>
          <w:marTop w:val="0"/>
          <w:marBottom w:val="0"/>
          <w:divBdr>
            <w:top w:val="none" w:sz="0" w:space="0" w:color="auto"/>
            <w:left w:val="none" w:sz="0" w:space="0" w:color="auto"/>
            <w:bottom w:val="none" w:sz="0" w:space="0" w:color="auto"/>
            <w:right w:val="none" w:sz="0" w:space="0" w:color="auto"/>
          </w:divBdr>
        </w:div>
        <w:div w:id="1892958761">
          <w:marLeft w:val="0"/>
          <w:marRight w:val="0"/>
          <w:marTop w:val="0"/>
          <w:marBottom w:val="0"/>
          <w:divBdr>
            <w:top w:val="none" w:sz="0" w:space="0" w:color="auto"/>
            <w:left w:val="none" w:sz="0" w:space="0" w:color="auto"/>
            <w:bottom w:val="none" w:sz="0" w:space="0" w:color="auto"/>
            <w:right w:val="none" w:sz="0" w:space="0" w:color="auto"/>
          </w:divBdr>
        </w:div>
        <w:div w:id="856968389">
          <w:marLeft w:val="0"/>
          <w:marRight w:val="0"/>
          <w:marTop w:val="0"/>
          <w:marBottom w:val="0"/>
          <w:divBdr>
            <w:top w:val="none" w:sz="0" w:space="0" w:color="auto"/>
            <w:left w:val="none" w:sz="0" w:space="0" w:color="auto"/>
            <w:bottom w:val="none" w:sz="0" w:space="0" w:color="auto"/>
            <w:right w:val="none" w:sz="0" w:space="0" w:color="auto"/>
          </w:divBdr>
        </w:div>
        <w:div w:id="1311442976">
          <w:marLeft w:val="0"/>
          <w:marRight w:val="0"/>
          <w:marTop w:val="0"/>
          <w:marBottom w:val="0"/>
          <w:divBdr>
            <w:top w:val="none" w:sz="0" w:space="0" w:color="auto"/>
            <w:left w:val="none" w:sz="0" w:space="0" w:color="auto"/>
            <w:bottom w:val="none" w:sz="0" w:space="0" w:color="auto"/>
            <w:right w:val="none" w:sz="0" w:space="0" w:color="auto"/>
          </w:divBdr>
        </w:div>
        <w:div w:id="857159267">
          <w:marLeft w:val="0"/>
          <w:marRight w:val="0"/>
          <w:marTop w:val="0"/>
          <w:marBottom w:val="0"/>
          <w:divBdr>
            <w:top w:val="none" w:sz="0" w:space="0" w:color="auto"/>
            <w:left w:val="none" w:sz="0" w:space="0" w:color="auto"/>
            <w:bottom w:val="none" w:sz="0" w:space="0" w:color="auto"/>
            <w:right w:val="none" w:sz="0" w:space="0" w:color="auto"/>
          </w:divBdr>
        </w:div>
        <w:div w:id="292445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240</Words>
  <Characters>1370</Characters>
  <Application>Microsoft Office Word</Application>
  <DocSecurity>0</DocSecurity>
  <Lines>11</Lines>
  <Paragraphs>3</Paragraphs>
  <ScaleCrop>false</ScaleCrop>
  <Company>Sysceo.com</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2020-05-02T01:20:00Z</dcterms:created>
  <dcterms:modified xsi:type="dcterms:W3CDTF">2020-05-02T01:22:00Z</dcterms:modified>
</cp:coreProperties>
</file>